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5ED70">
      <w:pPr>
        <w:spacing w:line="360" w:lineRule="auto"/>
        <w:rPr>
          <w:rFonts w:ascii="仿宋" w:hAnsi="仿宋" w:eastAsia="仿宋"/>
          <w:b/>
          <w:bCs/>
          <w:color w:val="auto"/>
          <w:sz w:val="24"/>
          <w:szCs w:val="24"/>
        </w:rPr>
      </w:pPr>
    </w:p>
    <w:p w14:paraId="12A2AF9E">
      <w:pPr>
        <w:pStyle w:val="14"/>
        <w:spacing w:before="117" w:line="360" w:lineRule="auto"/>
        <w:ind w:left="0"/>
        <w:jc w:val="center"/>
        <w:rPr>
          <w:rFonts w:ascii="宋体" w:hAnsi="宋体" w:eastAsia="宋体"/>
          <w:b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color w:val="auto"/>
          <w:sz w:val="32"/>
          <w:szCs w:val="32"/>
          <w:lang w:eastAsia="zh-CN"/>
        </w:rPr>
        <w:t>上海电力大学2024-2025学年研究生缴纳学费、住宿费通知</w:t>
      </w:r>
    </w:p>
    <w:p w14:paraId="0637F048">
      <w:pPr>
        <w:pStyle w:val="5"/>
        <w:snapToGrid w:val="0"/>
        <w:spacing w:line="360" w:lineRule="auto"/>
        <w:jc w:val="both"/>
        <w:rPr>
          <w:rFonts w:ascii="宋体" w:hAnsi="宋体" w:eastAsia="宋体"/>
          <w:color w:val="auto"/>
          <w:sz w:val="28"/>
          <w:szCs w:val="28"/>
          <w:lang w:eastAsia="zh-CN"/>
        </w:rPr>
      </w:pPr>
    </w:p>
    <w:p w14:paraId="2B09B042">
      <w:pPr>
        <w:pStyle w:val="5"/>
        <w:snapToGrid w:val="0"/>
        <w:spacing w:line="360" w:lineRule="auto"/>
        <w:ind w:firstLine="560" w:firstLineChars="200"/>
        <w:jc w:val="both"/>
        <w:rPr>
          <w:rFonts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上海电力大学2024-2025学年研究生新生及老生学费、住宿费的收缴工作现在已经开始。请各位同学按照通知要求在规定日期内完成缴费，以免影响新学年注册、选课等。现就具体事宜通知如下：</w:t>
      </w:r>
    </w:p>
    <w:p w14:paraId="2DBB8D00">
      <w:pPr>
        <w:pStyle w:val="5"/>
        <w:snapToGrid w:val="0"/>
        <w:spacing w:line="360" w:lineRule="auto"/>
        <w:ind w:left="420" w:leftChars="200"/>
        <w:jc w:val="both"/>
        <w:rPr>
          <w:rFonts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  <w:t>一、缴费方式</w:t>
      </w:r>
    </w:p>
    <w:p w14:paraId="0F1CF53F">
      <w:pPr>
        <w:pStyle w:val="5"/>
        <w:snapToGrid w:val="0"/>
        <w:spacing w:line="360" w:lineRule="auto"/>
        <w:ind w:firstLine="566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auto"/>
          <w:spacing w:val="1"/>
          <w:sz w:val="28"/>
          <w:szCs w:val="28"/>
          <w:lang w:eastAsia="zh-CN"/>
        </w:rPr>
        <w:t>随申办市民云APP线上缴费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：具体登陆</w:t>
      </w:r>
      <w:bookmarkStart w:id="0" w:name="_Hlk48047853"/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操作流程</w:t>
      </w:r>
      <w:bookmarkEnd w:id="0"/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见附件：《上海电力大学学生缴费操作说明》。</w:t>
      </w:r>
    </w:p>
    <w:p w14:paraId="64F926DC">
      <w:pPr>
        <w:pStyle w:val="5"/>
        <w:snapToGrid w:val="0"/>
        <w:spacing w:line="360" w:lineRule="auto"/>
        <w:ind w:firstLine="564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bookmarkStart w:id="1" w:name="_GoBack"/>
      <w:bookmarkEnd w:id="1"/>
    </w:p>
    <w:p w14:paraId="4554AFDF">
      <w:pPr>
        <w:pStyle w:val="5"/>
        <w:snapToGrid w:val="0"/>
        <w:spacing w:line="360" w:lineRule="auto"/>
        <w:ind w:left="420" w:leftChars="200"/>
        <w:jc w:val="both"/>
        <w:rPr>
          <w:rFonts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  <w:t>二、缴费时间</w:t>
      </w:r>
    </w:p>
    <w:p w14:paraId="5CEBD1B5">
      <w:pPr>
        <w:pStyle w:val="5"/>
        <w:snapToGrid w:val="0"/>
        <w:spacing w:line="360" w:lineRule="auto"/>
        <w:ind w:firstLine="564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请于8月29日-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9月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日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期间完成学费缴费工作（“绿色通道”学生除外）。住宿费缴费时间另行通知。</w:t>
      </w:r>
      <w:r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  <w:t>2024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年秋季即将入伍新兵不用缴纳2</w:t>
      </w:r>
      <w:r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  <w:t>02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4</w:t>
      </w:r>
      <w:r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  <w:t>-202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5学年学费、住宿费。</w:t>
      </w:r>
    </w:p>
    <w:p w14:paraId="5DD8E278">
      <w:pPr>
        <w:pStyle w:val="5"/>
        <w:snapToGrid w:val="0"/>
        <w:spacing w:line="360" w:lineRule="auto"/>
        <w:ind w:firstLine="564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</w:p>
    <w:p w14:paraId="64750E00">
      <w:pPr>
        <w:pStyle w:val="5"/>
        <w:snapToGrid w:val="0"/>
        <w:spacing w:line="360" w:lineRule="auto"/>
        <w:ind w:firstLine="566" w:firstLineChars="200"/>
        <w:jc w:val="both"/>
        <w:rPr>
          <w:rFonts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28"/>
          <w:szCs w:val="28"/>
          <w:lang w:eastAsia="zh-CN"/>
        </w:rPr>
        <w:t>三、其他</w:t>
      </w:r>
    </w:p>
    <w:p w14:paraId="79A7123A">
      <w:pPr>
        <w:pStyle w:val="5"/>
        <w:snapToGrid w:val="0"/>
        <w:spacing w:line="360" w:lineRule="auto"/>
        <w:ind w:firstLine="564" w:firstLineChars="200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申请“绿色通道”（生源地贷款）,且符合家庭经济困难条件的学生，可向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生源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所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在地“学生资助管理中心”咨询、申请生源地贷款。如果当地无法办理生源地贷款，来学校报到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并进行贫困生认定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后，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val="en-US" w:eastAsia="zh-CN"/>
        </w:rPr>
        <w:t>可</w:t>
      </w: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向银行申请国家助学贷款。</w:t>
      </w:r>
    </w:p>
    <w:p w14:paraId="1973416B">
      <w:pPr>
        <w:pStyle w:val="5"/>
        <w:snapToGrid w:val="0"/>
        <w:spacing w:line="360" w:lineRule="auto"/>
        <w:ind w:firstLine="560" w:firstLineChars="200"/>
        <w:jc w:val="right"/>
        <w:rPr>
          <w:rFonts w:ascii="宋体" w:hAnsi="宋体" w:eastAsia="宋体" w:cs="宋体"/>
          <w:color w:val="auto"/>
          <w:sz w:val="28"/>
          <w:szCs w:val="28"/>
          <w:u w:val="single"/>
          <w:lang w:eastAsia="zh-CN"/>
        </w:rPr>
      </w:pPr>
    </w:p>
    <w:p w14:paraId="75A17392">
      <w:pPr>
        <w:pStyle w:val="5"/>
        <w:snapToGrid w:val="0"/>
        <w:spacing w:line="360" w:lineRule="auto"/>
        <w:ind w:firstLine="560" w:firstLineChars="200"/>
        <w:jc w:val="right"/>
        <w:rPr>
          <w:rFonts w:ascii="宋体" w:hAnsi="宋体" w:eastAsia="宋体" w:cs="宋体"/>
          <w:color w:val="auto"/>
          <w:sz w:val="28"/>
          <w:szCs w:val="28"/>
          <w:u w:val="single"/>
          <w:lang w:eastAsia="zh-CN"/>
        </w:rPr>
      </w:pPr>
    </w:p>
    <w:p w14:paraId="4DDB8FBD">
      <w:pPr>
        <w:pStyle w:val="5"/>
        <w:snapToGrid w:val="0"/>
        <w:spacing w:line="360" w:lineRule="auto"/>
        <w:ind w:firstLine="564" w:firstLineChars="200"/>
        <w:jc w:val="right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>上海电力大学财务处</w:t>
      </w:r>
    </w:p>
    <w:p w14:paraId="05EDB5CF">
      <w:pPr>
        <w:pStyle w:val="5"/>
        <w:wordWrap w:val="0"/>
        <w:snapToGrid w:val="0"/>
        <w:spacing w:line="360" w:lineRule="auto"/>
        <w:ind w:firstLine="564" w:firstLineChars="200"/>
        <w:jc w:val="right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 xml:space="preserve"> 2024-08</w:t>
      </w:r>
    </w:p>
    <w:p w14:paraId="2A0B3308">
      <w:pPr>
        <w:pStyle w:val="5"/>
        <w:snapToGrid w:val="0"/>
        <w:spacing w:line="360" w:lineRule="auto"/>
        <w:ind w:firstLine="564" w:firstLineChars="200"/>
        <w:jc w:val="right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</w:p>
    <w:p w14:paraId="7B262E7B">
      <w:pPr>
        <w:pStyle w:val="5"/>
        <w:wordWrap w:val="0"/>
        <w:snapToGrid w:val="0"/>
        <w:spacing w:line="360" w:lineRule="auto"/>
        <w:ind w:firstLine="564" w:firstLineChars="200"/>
        <w:jc w:val="center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sz w:val="28"/>
          <w:szCs w:val="28"/>
          <w:lang w:eastAsia="zh-CN"/>
        </w:rPr>
        <w:t xml:space="preserve">                                                    </w:t>
      </w:r>
    </w:p>
    <w:p w14:paraId="02D22950">
      <w:pPr>
        <w:pStyle w:val="5"/>
        <w:wordWrap w:val="0"/>
        <w:snapToGrid w:val="0"/>
        <w:spacing w:line="360" w:lineRule="auto"/>
        <w:jc w:val="both"/>
        <w:rPr>
          <w:rFonts w:ascii="宋体" w:hAnsi="宋体" w:eastAsia="宋体" w:cs="宋体"/>
          <w:color w:val="auto"/>
          <w:spacing w:val="1"/>
          <w:sz w:val="28"/>
          <w:szCs w:val="28"/>
          <w:lang w:eastAsia="zh-CN"/>
        </w:rPr>
      </w:pPr>
    </w:p>
    <w:p w14:paraId="538782A8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10AC4166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3B55B2C8">
      <w:pPr>
        <w:jc w:val="center"/>
        <w:rPr>
          <w:b/>
          <w:bCs/>
          <w:color w:val="auto"/>
          <w:sz w:val="40"/>
          <w:szCs w:val="40"/>
        </w:rPr>
      </w:pPr>
      <w:r>
        <w:rPr>
          <w:rFonts w:hint="eastAsia"/>
          <w:b/>
          <w:bCs/>
          <w:color w:val="auto"/>
          <w:sz w:val="40"/>
          <w:szCs w:val="40"/>
        </w:rPr>
        <w:t>附件：上海电力大学学生缴费操作说明</w:t>
      </w:r>
    </w:p>
    <w:p w14:paraId="61B87C7E">
      <w:pPr>
        <w:pStyle w:val="2"/>
        <w:numPr>
          <w:ilvl w:val="0"/>
          <w:numId w:val="1"/>
        </w:numPr>
        <w:rPr>
          <w:color w:val="auto"/>
        </w:rPr>
      </w:pPr>
      <w:r>
        <w:rPr>
          <w:rFonts w:hint="eastAsia"/>
          <w:color w:val="auto"/>
        </w:rPr>
        <w:t>学生访问登录</w:t>
      </w:r>
    </w:p>
    <w:p w14:paraId="7D8CE5CE">
      <w:pPr>
        <w:pStyle w:val="3"/>
        <w:numPr>
          <w:ilvl w:val="1"/>
          <w:numId w:val="1"/>
        </w:numPr>
        <w:rPr>
          <w:color w:val="auto"/>
        </w:rPr>
      </w:pPr>
      <w:r>
        <w:rPr>
          <w:rFonts w:hint="eastAsia"/>
          <w:color w:val="auto"/>
        </w:rPr>
        <w:t>通过“市教委”专栏选择对应学校</w:t>
      </w:r>
    </w:p>
    <w:p w14:paraId="21590F97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（1）学生登录“随申办市民云App</w:t>
      </w:r>
      <w:r>
        <w:rPr>
          <w:rFonts w:ascii="仿宋" w:hAnsi="仿宋" w:eastAsia="仿宋"/>
          <w:color w:val="auto"/>
          <w:sz w:val="24"/>
          <w:szCs w:val="24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</w:rPr>
        <w:t>后，在随申办首页点击办事，如图1；</w:t>
      </w:r>
    </w:p>
    <w:p w14:paraId="70B7E227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（2）在“办事”栏目中找到“市教委”，如图2；</w:t>
      </w:r>
    </w:p>
    <w:p w14:paraId="596BEB40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（3）进入市教委板块后，可发现教育缴费专栏；如图3；</w:t>
      </w:r>
    </w:p>
    <w:p w14:paraId="1C2CE479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（4）点击上海电力大学学费缴纳链接后，进入上海电力大学学生缴费门户，如图4；</w:t>
      </w:r>
    </w:p>
    <w:p w14:paraId="0145B0DB">
      <w:pPr>
        <w:spacing w:line="360" w:lineRule="auto"/>
        <w:ind w:firstLine="42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drawing>
          <wp:inline distT="0" distB="0" distL="114300" distR="114300">
            <wp:extent cx="1846580" cy="4104005"/>
            <wp:effectExtent l="0" t="0" r="12700" b="10795"/>
            <wp:docPr id="21" name="图片 21" descr="2022112217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11221709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</w:p>
    <w:p w14:paraId="699E6C31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>图1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>图2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图3 </w:t>
      </w:r>
    </w:p>
    <w:p w14:paraId="7DA97B33">
      <w:pPr>
        <w:spacing w:line="360" w:lineRule="auto"/>
        <w:ind w:firstLine="420" w:firstLineChars="200"/>
        <w:rPr>
          <w:color w:val="auto"/>
        </w:rPr>
      </w:pPr>
      <w:r>
        <w:rPr>
          <w:color w:val="auto"/>
        </w:rPr>
        <w:t xml:space="preserve"> </w:t>
      </w:r>
      <w:r>
        <w:rPr>
          <w:rFonts w:hint="eastAsia"/>
          <w:color w:val="auto"/>
        </w:rPr>
        <w:t xml:space="preserve">    </w:t>
      </w:r>
      <w:r>
        <w:rPr>
          <w:color w:val="auto"/>
        </w:rPr>
        <w:drawing>
          <wp:inline distT="0" distB="0" distL="114300" distR="114300">
            <wp:extent cx="1800225" cy="3897630"/>
            <wp:effectExtent l="0" t="0" r="9525" b="7620"/>
            <wp:docPr id="22" name="图片 22" descr="5d07b32196c2675bba60cb09fd9b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d07b32196c2675bba60cb09fd9b7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524E">
      <w:pPr>
        <w:spacing w:line="360" w:lineRule="auto"/>
        <w:ind w:firstLine="42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rFonts w:hint="eastAsia" w:ascii="仿宋" w:hAnsi="仿宋" w:eastAsia="仿宋"/>
          <w:color w:val="auto"/>
          <w:sz w:val="24"/>
          <w:szCs w:val="24"/>
        </w:rPr>
        <w:t>图4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</w:p>
    <w:p w14:paraId="10AA6111">
      <w:pPr>
        <w:pStyle w:val="3"/>
        <w:numPr>
          <w:ilvl w:val="1"/>
          <w:numId w:val="1"/>
        </w:numPr>
        <w:rPr>
          <w:color w:val="auto"/>
        </w:rPr>
      </w:pPr>
      <w:r>
        <w:rPr>
          <w:rFonts w:hint="eastAsia"/>
          <w:color w:val="auto"/>
        </w:rPr>
        <w:t>搜索框搜索学校名称</w:t>
      </w:r>
    </w:p>
    <w:p w14:paraId="735A7DC6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（1）学生登录“随申办市民云App</w:t>
      </w:r>
      <w:r>
        <w:rPr>
          <w:rFonts w:ascii="仿宋" w:hAnsi="仿宋" w:eastAsia="仿宋"/>
          <w:color w:val="auto"/>
          <w:sz w:val="24"/>
          <w:szCs w:val="24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</w:rPr>
        <w:t>后，在随申办首页点击搜索框，如图5；</w:t>
      </w:r>
    </w:p>
    <w:p w14:paraId="71980266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（2）在“搜索框”输入“上海电力大学”，如图6；</w:t>
      </w:r>
    </w:p>
    <w:p w14:paraId="6FA0EB6D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（3）查询结果栏，点击“上海电力大学学费缴纳”，即可进入上海电力大学学生缴费门户。如图7，图4；</w:t>
      </w:r>
    </w:p>
    <w:p w14:paraId="0B74B5DA">
      <w:pPr>
        <w:rPr>
          <w:color w:val="auto"/>
        </w:rPr>
      </w:pPr>
    </w:p>
    <w:p w14:paraId="17712C69">
      <w:pPr>
        <w:spacing w:line="360" w:lineRule="auto"/>
        <w:ind w:firstLine="420" w:firstLineChars="20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852B">
      <w:pPr>
        <w:spacing w:line="360" w:lineRule="auto"/>
        <w:ind w:firstLine="420" w:firstLineChars="200"/>
        <w:rPr>
          <w:rFonts w:eastAsia="仿宋"/>
          <w:color w:val="auto"/>
        </w:rPr>
      </w:pP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  <w:r>
        <w:rPr>
          <w:rFonts w:hint="eastAsia" w:ascii="仿宋" w:hAnsi="仿宋" w:eastAsia="仿宋"/>
          <w:color w:val="auto"/>
          <w:sz w:val="24"/>
          <w:szCs w:val="24"/>
        </w:rPr>
        <w:t>图5</w:t>
      </w:r>
      <w:r>
        <w:rPr>
          <w:rFonts w:ascii="仿宋" w:hAnsi="仿宋" w:eastAsia="仿宋"/>
          <w:color w:val="auto"/>
          <w:sz w:val="24"/>
          <w:szCs w:val="24"/>
        </w:rPr>
        <w:t xml:space="preserve">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                图6                      图7</w:t>
      </w:r>
    </w:p>
    <w:p w14:paraId="7A1EB855">
      <w:pPr>
        <w:pStyle w:val="3"/>
        <w:numPr>
          <w:ilvl w:val="1"/>
          <w:numId w:val="1"/>
        </w:numPr>
        <w:rPr>
          <w:color w:val="auto"/>
        </w:rPr>
      </w:pPr>
      <w:r>
        <w:rPr>
          <w:rFonts w:hint="eastAsia"/>
          <w:color w:val="auto"/>
        </w:rPr>
        <w:t>扫描二维码进入</w:t>
      </w:r>
    </w:p>
    <w:p w14:paraId="07927C82"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492500" cy="3492500"/>
            <wp:effectExtent l="0" t="0" r="12700" b="12700"/>
            <wp:docPr id="32" name="图片 32" descr="fa7e2d4a2e3cc99162518427425e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a7e2d4a2e3cc99162518427425ed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42CC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（1）.使用“随申办市民云App”，“支付宝”，“微信”扫描图中二维码进入缴费页面</w:t>
      </w:r>
    </w:p>
    <w:p w14:paraId="59724F18">
      <w:pPr>
        <w:rPr>
          <w:color w:val="auto"/>
        </w:rPr>
      </w:pPr>
    </w:p>
    <w:p w14:paraId="11513466">
      <w:pPr>
        <w:rPr>
          <w:color w:val="auto"/>
        </w:rPr>
      </w:pPr>
      <w:r>
        <w:rPr>
          <w:rFonts w:hint="eastAsia"/>
          <w:color w:val="auto"/>
        </w:rPr>
        <w:t xml:space="preserve">     </w:t>
      </w:r>
    </w:p>
    <w:p w14:paraId="7353D703">
      <w:pPr>
        <w:pStyle w:val="2"/>
        <w:rPr>
          <w:color w:val="auto"/>
        </w:rPr>
      </w:pPr>
      <w:r>
        <w:rPr>
          <w:rFonts w:hint="eastAsia"/>
          <w:color w:val="auto"/>
        </w:rPr>
        <w:t>二、学生缴费操作</w:t>
      </w:r>
    </w:p>
    <w:p w14:paraId="726C8380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（1）学生在“收费批次”中浏览本人待缴费内容后，选择一个批次，如图8；</w:t>
      </w:r>
    </w:p>
    <w:p w14:paraId="47FDB79E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（2）学生确认缴费金额点击支付后，进入公共支付平台支付界面，如图9；</w:t>
      </w:r>
    </w:p>
    <w:p w14:paraId="6B79F473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（3）学生在公共支付平台支付界面上，选择支付宝、微信、银联进行支付。</w:t>
      </w:r>
    </w:p>
    <w:p w14:paraId="40A3C7A1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662E3C09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093A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  <w:r>
        <w:rPr>
          <w:rFonts w:hint="eastAsia" w:ascii="仿宋" w:hAnsi="仿宋" w:eastAsia="仿宋"/>
          <w:color w:val="auto"/>
          <w:sz w:val="24"/>
          <w:szCs w:val="24"/>
        </w:rPr>
        <w:t>图8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>图9</w:t>
      </w:r>
    </w:p>
    <w:p w14:paraId="2CE8B563">
      <w:pPr>
        <w:spacing w:line="360" w:lineRule="auto"/>
        <w:rPr>
          <w:rFonts w:ascii="仿宋" w:hAnsi="仿宋" w:eastAsia="仿宋"/>
          <w:b/>
          <w:bCs/>
          <w:color w:val="auto"/>
          <w:sz w:val="24"/>
          <w:szCs w:val="24"/>
        </w:rPr>
      </w:pPr>
    </w:p>
    <w:p w14:paraId="76835D18">
      <w:pPr>
        <w:pStyle w:val="2"/>
        <w:rPr>
          <w:color w:val="auto"/>
        </w:rPr>
      </w:pPr>
      <w:r>
        <w:rPr>
          <w:rFonts w:hint="eastAsia"/>
          <w:color w:val="auto"/>
        </w:rPr>
        <w:t>三、学生缴费查询</w:t>
      </w:r>
    </w:p>
    <w:p w14:paraId="28976286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（1）学生缴费后，可在“缴费记录”中，查询成功支付记录，如图10；</w:t>
      </w:r>
    </w:p>
    <w:p w14:paraId="52AB6B72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（2）可在“缴费记录”中，查询缴费详情，如图11；</w:t>
      </w:r>
    </w:p>
    <w:p w14:paraId="1545DA2B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</w:p>
    <w:p w14:paraId="33CF70B9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3F86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</w:t>
      </w:r>
      <w:r>
        <w:rPr>
          <w:rFonts w:hint="eastAsia" w:ascii="仿宋" w:hAnsi="仿宋" w:eastAsia="仿宋"/>
          <w:color w:val="auto"/>
          <w:sz w:val="24"/>
          <w:szCs w:val="24"/>
        </w:rPr>
        <w:t>图10                       图11</w:t>
      </w:r>
    </w:p>
    <w:p w14:paraId="61A5DB1C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</w:p>
    <w:p w14:paraId="32D39C70">
      <w:pPr>
        <w:pStyle w:val="2"/>
        <w:rPr>
          <w:color w:val="auto"/>
        </w:rPr>
      </w:pPr>
      <w:r>
        <w:rPr>
          <w:rFonts w:hint="eastAsia"/>
          <w:color w:val="auto"/>
        </w:rPr>
        <w:t>四、学生票据查询</w:t>
      </w:r>
    </w:p>
    <w:p w14:paraId="7B25314D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（1）学校填开票据后，学生可在“票据查询”中，查询电子票据记录，如图12；</w:t>
      </w:r>
    </w:p>
    <w:p w14:paraId="5CE15527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（2）学生点击“票据预览”，在线查看票据信息，如图13；</w:t>
      </w:r>
    </w:p>
    <w:p w14:paraId="4B8C8E83">
      <w:pPr>
        <w:spacing w:line="360" w:lineRule="auto"/>
        <w:ind w:firstLine="480" w:firstLineChars="20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（3）学生点击“发送邮箱”，可自行输入邮箱地址后，获取电子票据邮件，如图14；</w:t>
      </w:r>
    </w:p>
    <w:p w14:paraId="6A440D28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</w:t>
      </w:r>
      <w:r>
        <w:rPr>
          <w:color w:val="auto"/>
        </w:rPr>
        <w:drawing>
          <wp:inline distT="0" distB="0" distL="114300" distR="114300">
            <wp:extent cx="1846580" cy="4104005"/>
            <wp:effectExtent l="0" t="0" r="12700" b="1079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A201">
      <w:pPr>
        <w:spacing w:line="360" w:lineRule="auto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 xml:space="preserve"> </w:t>
      </w:r>
      <w:r>
        <w:rPr>
          <w:rFonts w:ascii="仿宋" w:hAnsi="仿宋" w:eastAsia="仿宋"/>
          <w:color w:val="auto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color w:val="auto"/>
          <w:sz w:val="24"/>
          <w:szCs w:val="24"/>
        </w:rPr>
        <w:t>图12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>图13</w:t>
      </w:r>
      <w:r>
        <w:rPr>
          <w:rFonts w:ascii="仿宋" w:hAnsi="仿宋" w:eastAsia="仿宋"/>
          <w:color w:val="auto"/>
          <w:sz w:val="24"/>
          <w:szCs w:val="24"/>
        </w:rPr>
        <w:t xml:space="preserve">               </w:t>
      </w:r>
      <w:r>
        <w:rPr>
          <w:rFonts w:hint="eastAsia" w:ascii="仿宋" w:hAnsi="仿宋" w:eastAsia="仿宋"/>
          <w:color w:val="auto"/>
          <w:sz w:val="24"/>
          <w:szCs w:val="24"/>
        </w:rPr>
        <w:t xml:space="preserve">    </w:t>
      </w:r>
      <w:r>
        <w:rPr>
          <w:rFonts w:ascii="仿宋" w:hAnsi="仿宋" w:eastAsia="仿宋"/>
          <w:color w:val="auto"/>
          <w:sz w:val="24"/>
          <w:szCs w:val="24"/>
        </w:rPr>
        <w:t xml:space="preserve">    </w:t>
      </w:r>
      <w:r>
        <w:rPr>
          <w:rFonts w:hint="eastAsia" w:ascii="仿宋" w:hAnsi="仿宋" w:eastAsia="仿宋"/>
          <w:color w:val="auto"/>
          <w:sz w:val="24"/>
          <w:szCs w:val="24"/>
        </w:rPr>
        <w:t>图14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叶根友毛笔行书简体">
    <w:altName w:val="等线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851033"/>
    <w:multiLevelType w:val="multilevel"/>
    <w:tmpl w:val="338510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4N2Q3YTcwYTg2MDY3NTJiNGJmODA3ZDY2MDFhMzIifQ=="/>
  </w:docVars>
  <w:rsids>
    <w:rsidRoot w:val="00DD3F34"/>
    <w:rsid w:val="00024F24"/>
    <w:rsid w:val="00031A52"/>
    <w:rsid w:val="00036AC3"/>
    <w:rsid w:val="00044AEA"/>
    <w:rsid w:val="0006046D"/>
    <w:rsid w:val="000B1979"/>
    <w:rsid w:val="000C760C"/>
    <w:rsid w:val="0010473A"/>
    <w:rsid w:val="0012489A"/>
    <w:rsid w:val="00167D24"/>
    <w:rsid w:val="00167E09"/>
    <w:rsid w:val="00170702"/>
    <w:rsid w:val="00171FB3"/>
    <w:rsid w:val="001A01C4"/>
    <w:rsid w:val="001A7FA9"/>
    <w:rsid w:val="00200044"/>
    <w:rsid w:val="002050AC"/>
    <w:rsid w:val="00215EE5"/>
    <w:rsid w:val="00234514"/>
    <w:rsid w:val="00243BFE"/>
    <w:rsid w:val="00255CCC"/>
    <w:rsid w:val="002C37E4"/>
    <w:rsid w:val="002C3CE3"/>
    <w:rsid w:val="002D727D"/>
    <w:rsid w:val="00312D05"/>
    <w:rsid w:val="003C6902"/>
    <w:rsid w:val="003E03F4"/>
    <w:rsid w:val="00402A36"/>
    <w:rsid w:val="00412089"/>
    <w:rsid w:val="00430456"/>
    <w:rsid w:val="00442120"/>
    <w:rsid w:val="00474F1D"/>
    <w:rsid w:val="00480CF1"/>
    <w:rsid w:val="00484BE0"/>
    <w:rsid w:val="004C05A6"/>
    <w:rsid w:val="004D38F9"/>
    <w:rsid w:val="00514D4B"/>
    <w:rsid w:val="00551B8D"/>
    <w:rsid w:val="00594305"/>
    <w:rsid w:val="005A1353"/>
    <w:rsid w:val="005A46D9"/>
    <w:rsid w:val="005D05D4"/>
    <w:rsid w:val="005D3E0D"/>
    <w:rsid w:val="005D4777"/>
    <w:rsid w:val="006375CA"/>
    <w:rsid w:val="00654954"/>
    <w:rsid w:val="00691AC8"/>
    <w:rsid w:val="006B0615"/>
    <w:rsid w:val="006B228F"/>
    <w:rsid w:val="006B4CCF"/>
    <w:rsid w:val="006B5F86"/>
    <w:rsid w:val="00707660"/>
    <w:rsid w:val="007729AC"/>
    <w:rsid w:val="007B3B4C"/>
    <w:rsid w:val="007C2227"/>
    <w:rsid w:val="007E2744"/>
    <w:rsid w:val="007E7F2D"/>
    <w:rsid w:val="007F6DC6"/>
    <w:rsid w:val="00813138"/>
    <w:rsid w:val="008341D9"/>
    <w:rsid w:val="00867317"/>
    <w:rsid w:val="008B59B8"/>
    <w:rsid w:val="008E6B04"/>
    <w:rsid w:val="00910694"/>
    <w:rsid w:val="0091511E"/>
    <w:rsid w:val="009227C9"/>
    <w:rsid w:val="00940C32"/>
    <w:rsid w:val="009431DE"/>
    <w:rsid w:val="009578C6"/>
    <w:rsid w:val="00960CAB"/>
    <w:rsid w:val="009969D4"/>
    <w:rsid w:val="009E76F1"/>
    <w:rsid w:val="00A27930"/>
    <w:rsid w:val="00A36A78"/>
    <w:rsid w:val="00A668ED"/>
    <w:rsid w:val="00A967B4"/>
    <w:rsid w:val="00AB6609"/>
    <w:rsid w:val="00AD222D"/>
    <w:rsid w:val="00AF7E38"/>
    <w:rsid w:val="00B35EC3"/>
    <w:rsid w:val="00B6393E"/>
    <w:rsid w:val="00B9747B"/>
    <w:rsid w:val="00C139BA"/>
    <w:rsid w:val="00C227D1"/>
    <w:rsid w:val="00C3113D"/>
    <w:rsid w:val="00C53503"/>
    <w:rsid w:val="00C54CB8"/>
    <w:rsid w:val="00C6277D"/>
    <w:rsid w:val="00C659D9"/>
    <w:rsid w:val="00C95D0A"/>
    <w:rsid w:val="00CE2E56"/>
    <w:rsid w:val="00D021FB"/>
    <w:rsid w:val="00D45389"/>
    <w:rsid w:val="00D46363"/>
    <w:rsid w:val="00D5474C"/>
    <w:rsid w:val="00D84260"/>
    <w:rsid w:val="00DA5711"/>
    <w:rsid w:val="00DD3F34"/>
    <w:rsid w:val="00DE788E"/>
    <w:rsid w:val="00DF64F1"/>
    <w:rsid w:val="00E424A1"/>
    <w:rsid w:val="00E46C5D"/>
    <w:rsid w:val="00E650AE"/>
    <w:rsid w:val="00E7498C"/>
    <w:rsid w:val="00EF083A"/>
    <w:rsid w:val="00F21B97"/>
    <w:rsid w:val="00F406E4"/>
    <w:rsid w:val="00F5076E"/>
    <w:rsid w:val="00F61DAF"/>
    <w:rsid w:val="00F95480"/>
    <w:rsid w:val="00F97B84"/>
    <w:rsid w:val="00FB0F0A"/>
    <w:rsid w:val="00FF2E8A"/>
    <w:rsid w:val="07713581"/>
    <w:rsid w:val="0B8C3FEE"/>
    <w:rsid w:val="130B7EEE"/>
    <w:rsid w:val="16473933"/>
    <w:rsid w:val="16EA10E2"/>
    <w:rsid w:val="16FA56E1"/>
    <w:rsid w:val="172038A7"/>
    <w:rsid w:val="4347171C"/>
    <w:rsid w:val="4DD16EE5"/>
    <w:rsid w:val="571E62B6"/>
    <w:rsid w:val="757B557B"/>
    <w:rsid w:val="77B55B19"/>
    <w:rsid w:val="7B25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0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6"/>
    <w:semiHidden/>
    <w:unhideWhenUsed/>
    <w:uiPriority w:val="99"/>
    <w:rPr>
      <w:rFonts w:ascii="宋体" w:eastAsia="宋体"/>
      <w:sz w:val="24"/>
      <w:szCs w:val="24"/>
    </w:rPr>
  </w:style>
  <w:style w:type="paragraph" w:styleId="5">
    <w:name w:val="Body Text"/>
    <w:basedOn w:val="1"/>
    <w:link w:val="13"/>
    <w:qFormat/>
    <w:uiPriority w:val="1"/>
    <w:pPr>
      <w:autoSpaceDE w:val="0"/>
      <w:autoSpaceDN w:val="0"/>
      <w:jc w:val="left"/>
    </w:pPr>
    <w:rPr>
      <w:rFonts w:ascii="PMingLiU" w:hAnsi="PMingLiU" w:eastAsia="PMingLiU" w:cs="PMingLiU"/>
      <w:kern w:val="0"/>
      <w:sz w:val="22"/>
      <w:lang w:eastAsia="en-US"/>
    </w:r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uiPriority w:val="39"/>
    <w:rPr>
      <w:kern w:val="2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正文文本字符"/>
    <w:basedOn w:val="11"/>
    <w:link w:val="5"/>
    <w:qFormat/>
    <w:uiPriority w:val="1"/>
    <w:rPr>
      <w:rFonts w:ascii="PMingLiU" w:hAnsi="PMingLiU" w:eastAsia="PMingLiU" w:cs="PMingLiU"/>
      <w:sz w:val="22"/>
      <w:szCs w:val="22"/>
      <w:lang w:eastAsia="en-US"/>
    </w:rPr>
  </w:style>
  <w:style w:type="paragraph" w:customStyle="1" w:styleId="14">
    <w:name w:val="标题 11"/>
    <w:basedOn w:val="1"/>
    <w:qFormat/>
    <w:uiPriority w:val="1"/>
    <w:pPr>
      <w:autoSpaceDE w:val="0"/>
      <w:autoSpaceDN w:val="0"/>
      <w:ind w:left="530"/>
      <w:jc w:val="left"/>
      <w:outlineLvl w:val="1"/>
    </w:pPr>
    <w:rPr>
      <w:rFonts w:ascii="叶根友毛笔行书简体" w:hAnsi="叶根友毛笔行书简体" w:eastAsia="叶根友毛笔行书简体" w:cs="叶根友毛笔行书简体"/>
      <w:kern w:val="0"/>
      <w:sz w:val="44"/>
      <w:szCs w:val="44"/>
      <w:lang w:eastAsia="en-US"/>
    </w:rPr>
  </w:style>
  <w:style w:type="paragraph" w:customStyle="1" w:styleId="15">
    <w:name w:val="标题 31"/>
    <w:basedOn w:val="1"/>
    <w:qFormat/>
    <w:uiPriority w:val="1"/>
    <w:pPr>
      <w:autoSpaceDE w:val="0"/>
      <w:autoSpaceDN w:val="0"/>
      <w:spacing w:before="20"/>
      <w:ind w:left="577"/>
      <w:jc w:val="left"/>
      <w:outlineLvl w:val="3"/>
    </w:pPr>
    <w:rPr>
      <w:rFonts w:ascii="黑体" w:hAnsi="黑体" w:eastAsia="黑体" w:cs="黑体"/>
      <w:kern w:val="0"/>
      <w:sz w:val="26"/>
      <w:szCs w:val="26"/>
      <w:lang w:eastAsia="en-US"/>
    </w:rPr>
  </w:style>
  <w:style w:type="character" w:customStyle="1" w:styleId="16">
    <w:name w:val="文档结构图字符"/>
    <w:basedOn w:val="11"/>
    <w:link w:val="4"/>
    <w:semiHidden/>
    <w:qFormat/>
    <w:uiPriority w:val="99"/>
    <w:rPr>
      <w:rFonts w:ascii="宋体" w:eastAsia="宋体"/>
      <w:kern w:val="2"/>
      <w:sz w:val="24"/>
      <w:szCs w:val="24"/>
    </w:rPr>
  </w:style>
  <w:style w:type="paragraph" w:customStyle="1" w:styleId="1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页眉字符"/>
    <w:basedOn w:val="11"/>
    <w:link w:val="8"/>
    <w:qFormat/>
    <w:uiPriority w:val="99"/>
    <w:rPr>
      <w:kern w:val="2"/>
      <w:sz w:val="18"/>
      <w:szCs w:val="18"/>
    </w:rPr>
  </w:style>
  <w:style w:type="character" w:customStyle="1" w:styleId="19">
    <w:name w:val="页脚字符"/>
    <w:basedOn w:val="11"/>
    <w:link w:val="7"/>
    <w:uiPriority w:val="99"/>
    <w:rPr>
      <w:kern w:val="2"/>
      <w:sz w:val="18"/>
      <w:szCs w:val="18"/>
    </w:rPr>
  </w:style>
  <w:style w:type="character" w:customStyle="1" w:styleId="20">
    <w:name w:val="日期字符"/>
    <w:basedOn w:val="11"/>
    <w:link w:val="6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972</Words>
  <Characters>1025</Characters>
  <Lines>10</Lines>
  <Paragraphs>2</Paragraphs>
  <TotalTime>41</TotalTime>
  <ScaleCrop>false</ScaleCrop>
  <LinksUpToDate>false</LinksUpToDate>
  <CharactersWithSpaces>1374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2021-12-22T05:04:00Z</dcterms:created>
  <dc:creator>沈 伟刚</dc:creator>
  <cp:lastModifiedBy>唐 yan</cp:lastModifiedBy>
  <dcterms:modified xsi:type="dcterms:W3CDTF">2024-08-20T14:21:14Z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640A840BD2AF40B8BCA7A1B91CC39943</vt:lpwstr>
  </property>
</Properties>
</file>