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66" w:rsidRPr="00060566" w:rsidRDefault="00060566" w:rsidP="000605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91150" cy="3448050"/>
            <wp:effectExtent l="19050" t="0" r="0" b="0"/>
            <wp:docPr id="1" name="图片 1" descr="C:\Documents and Settings\Administrator\Application Data\Tencent\Users\463313487\QQ\WinTemp\RichOle\LP0OA`2FAD7X35K$VXOL1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463313487\QQ\WinTemp\RichOle\LP0OA`2FAD7X35K$VXOL1P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47" w:rsidRPr="00A11220" w:rsidRDefault="00983647" w:rsidP="00A11220">
      <w:pPr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2015年人才引进待遇</w:t>
      </w:r>
    </w:p>
    <w:p w:rsidR="00983647" w:rsidRDefault="00983647" w:rsidP="00A1122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学校为引进的教学科研人员提供如下待遇：</w:t>
      </w:r>
    </w:p>
    <w:p w:rsidR="00983647" w:rsidRDefault="00983647" w:rsidP="00A11220">
      <w:pPr>
        <w:rPr>
          <w:rFonts w:ascii="仿宋" w:eastAsia="仿宋" w:hAnsi="仿宋"/>
          <w:b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sz w:val="28"/>
          <w:szCs w:val="28"/>
        </w:rPr>
        <w:t>一、拔尖人才待遇</w:t>
      </w:r>
    </w:p>
    <w:p w:rsidR="00983647" w:rsidRPr="00A11220" w:rsidRDefault="00983647" w:rsidP="00A1122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11220">
        <w:rPr>
          <w:rFonts w:ascii="仿宋" w:eastAsia="仿宋" w:hAnsi="仿宋" w:hint="eastAsia"/>
          <w:sz w:val="24"/>
          <w:szCs w:val="24"/>
        </w:rPr>
        <w:t>院士、千人计划、长江学者、省部级以上专家等领军拔尖人才待遇面议。</w:t>
      </w:r>
    </w:p>
    <w:p w:rsidR="00983647" w:rsidRDefault="00A11220" w:rsidP="00A1122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983647">
        <w:rPr>
          <w:rFonts w:ascii="仿宋" w:eastAsia="仿宋" w:hAnsi="仿宋" w:hint="eastAsia"/>
          <w:b/>
          <w:sz w:val="28"/>
          <w:szCs w:val="28"/>
        </w:rPr>
        <w:t>博士、教授待遇</w:t>
      </w:r>
    </w:p>
    <w:tbl>
      <w:tblPr>
        <w:tblW w:w="9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060"/>
        <w:gridCol w:w="1476"/>
        <w:gridCol w:w="402"/>
        <w:gridCol w:w="977"/>
        <w:gridCol w:w="3805"/>
      </w:tblGrid>
      <w:tr w:rsidR="00983647" w:rsidTr="009D21E2">
        <w:trPr>
          <w:trHeight w:val="620"/>
          <w:jc w:val="center"/>
        </w:trPr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层  次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住房补贴</w:t>
            </w:r>
            <w:r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科研启动费</w:t>
            </w:r>
            <w:r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br/>
            </w: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住房</w:t>
            </w:r>
          </w:p>
        </w:tc>
        <w:tc>
          <w:tcPr>
            <w:tcW w:w="3805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配偶安置政策</w:t>
            </w: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“★★”学科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19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自 然 科 学</w:t>
            </w: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977" w:type="dxa"/>
            <w:vMerge w:val="restart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提供校内房源(唐家湾小区)供其购买（5年内）</w:t>
            </w:r>
          </w:p>
        </w:tc>
        <w:tc>
          <w:tcPr>
            <w:tcW w:w="3805" w:type="dxa"/>
            <w:vMerge w:val="restart"/>
            <w:tcBorders>
              <w:top w:val="double" w:sz="4" w:space="0" w:color="auto"/>
            </w:tcBorders>
            <w:vAlign w:val="center"/>
          </w:tcPr>
          <w:p w:rsidR="00983647" w:rsidRDefault="00983647" w:rsidP="00486A25">
            <w:pPr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配偶为双证硕士者以正式工方式安置，其他层次者以合同工方式安置，不需要安置者五年内享受配偶生活补贴2000元/月</w:t>
            </w: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人文社会科学</w:t>
            </w:r>
          </w:p>
        </w:tc>
        <w:tc>
          <w:tcPr>
            <w:tcW w:w="402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7" w:type="dxa"/>
            <w:vMerge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05" w:type="dxa"/>
            <w:vMerge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 w:val="restart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“ ★ ”学科</w:t>
            </w:r>
          </w:p>
        </w:tc>
        <w:tc>
          <w:tcPr>
            <w:tcW w:w="1060" w:type="dxa"/>
            <w:vMerge w:val="restart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13</w:t>
            </w:r>
          </w:p>
        </w:tc>
        <w:tc>
          <w:tcPr>
            <w:tcW w:w="1476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自 然 科 学</w:t>
            </w:r>
          </w:p>
        </w:tc>
        <w:tc>
          <w:tcPr>
            <w:tcW w:w="402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977" w:type="dxa"/>
            <w:vMerge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五年内享受配偶生活补贴1500元/月</w:t>
            </w: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人文社会科学</w:t>
            </w:r>
          </w:p>
        </w:tc>
        <w:tc>
          <w:tcPr>
            <w:tcW w:w="402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7" w:type="dxa"/>
            <w:vMerge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05" w:type="dxa"/>
            <w:vMerge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 w:val="restart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一般学科</w:t>
            </w:r>
          </w:p>
        </w:tc>
        <w:tc>
          <w:tcPr>
            <w:tcW w:w="1060" w:type="dxa"/>
            <w:vMerge w:val="restart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6- 8</w:t>
            </w:r>
          </w:p>
        </w:tc>
        <w:tc>
          <w:tcPr>
            <w:tcW w:w="1476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自 然 科 学</w:t>
            </w:r>
          </w:p>
        </w:tc>
        <w:tc>
          <w:tcPr>
            <w:tcW w:w="402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977" w:type="dxa"/>
            <w:vMerge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五年内享受配偶生活补贴1000元/月</w:t>
            </w:r>
          </w:p>
        </w:tc>
      </w:tr>
      <w:tr w:rsidR="00983647" w:rsidTr="009D21E2">
        <w:trPr>
          <w:trHeight w:val="620"/>
          <w:jc w:val="center"/>
        </w:trPr>
        <w:tc>
          <w:tcPr>
            <w:tcW w:w="1476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人文社会科学</w:t>
            </w:r>
          </w:p>
        </w:tc>
        <w:tc>
          <w:tcPr>
            <w:tcW w:w="402" w:type="dxa"/>
            <w:vAlign w:val="center"/>
          </w:tcPr>
          <w:p w:rsidR="00983647" w:rsidRDefault="00983647" w:rsidP="00486A25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977" w:type="dxa"/>
            <w:vMerge/>
            <w:vAlign w:val="center"/>
          </w:tcPr>
          <w:p w:rsidR="00983647" w:rsidRDefault="00983647" w:rsidP="00486A25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05" w:type="dxa"/>
            <w:vMerge/>
          </w:tcPr>
          <w:p w:rsidR="00983647" w:rsidRDefault="00983647" w:rsidP="00486A25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lastRenderedPageBreak/>
        <w:t xml:space="preserve">  注：1、电气工程专业博士按安家费23万元，科研启动费12万元标准兑现。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2、博士研究生且教授（含相当职务）追加安家费5万元；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3、毕业院校为世界排名前50位（排名以2015年《泰晤士报高等教育世界大学排行榜》为准）的，追加安家费5万元；排名100位以内追加安家费4万元；排名200位以内追加3万元。其中属海外院校者另外追加安家费3万元；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4、2012年教育部评估前5名的学科追加安家费5万元；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5、凡获得全国优秀博士学位论文奖的，追加安家费10万元；凡获得全国优秀博士学位论文奖提名的，追加安家费5万元；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6、具有博士后工作经历的，追加安家费2万元；</w:t>
      </w:r>
    </w:p>
    <w:p w:rsidR="00983647" w:rsidRDefault="00983647" w:rsidP="00983647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kern w:val="0"/>
          <w:sz w:val="18"/>
          <w:szCs w:val="18"/>
        </w:rPr>
        <w:t xml:space="preserve">      7、如夫妻双方均为博士且均符合我校人才引进计划，追加安家费5万元/2人。</w:t>
      </w:r>
    </w:p>
    <w:p w:rsidR="00983647" w:rsidRDefault="00983647" w:rsidP="00A1122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2015年人才引进相关要求</w:t>
      </w:r>
    </w:p>
    <w:p w:rsidR="00983647" w:rsidRDefault="00A11220" w:rsidP="00A1122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983647">
        <w:rPr>
          <w:rFonts w:ascii="仿宋" w:eastAsia="仿宋" w:hAnsi="仿宋" w:hint="eastAsia"/>
          <w:b/>
          <w:bCs/>
          <w:sz w:val="28"/>
          <w:szCs w:val="28"/>
        </w:rPr>
        <w:t>基本要求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1、引进的教授或正高职称一般应具有硕士及以上学位、年龄不高于45周岁；博士不高于40周岁。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2、引进的硕士年龄一般不高于30周岁（其中辅导员年龄不超过26周岁）。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3、以上所列年龄的计算截止时间为2015年1月1日。</w:t>
      </w:r>
    </w:p>
    <w:p w:rsidR="00983647" w:rsidRDefault="00A11220" w:rsidP="00A1122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二、其他要求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1、引进人员根据自身实际情况可以申报校聘教授、副教授岗位和相应等级，经学校评审通过后享受相应校内待遇，并履行相应岗位职责；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2、学校与所有引进人员签订聘用合同，按照合同约定履行岗位职责，参与年度考核，年度考核及业绩考核结果须为称职及以上等次，不称职者转岗或者解聘；</w:t>
      </w:r>
    </w:p>
    <w:p w:rsidR="00983647" w:rsidRPr="00A11220" w:rsidRDefault="00983647" w:rsidP="00A11220">
      <w:pPr>
        <w:widowControl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3、博士及以上层次人员进校3年内须取得相应科研业绩：</w:t>
      </w:r>
    </w:p>
    <w:p w:rsidR="00983647" w:rsidRPr="00A11220" w:rsidRDefault="00983647" w:rsidP="00A11220">
      <w:pPr>
        <w:widowControl/>
        <w:ind w:firstLineChars="200" w:firstLine="360"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（1）自然科学类，须取得省部级及以上科研项目1项，或者发表B级及以上高水平论文1篇或者专著1部，或者获得省级及以上科技奖励1项（省级一等奖排名前10、二等奖排名前5、三等奖排名前3，国家级有效排名），或者申请发明专利3项以上并授权1项；</w:t>
      </w:r>
    </w:p>
    <w:p w:rsidR="00983647" w:rsidRPr="00A11220" w:rsidRDefault="00983647" w:rsidP="00A11220">
      <w:pPr>
        <w:widowControl/>
        <w:ind w:firstLineChars="200" w:firstLine="360"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（2）人文社科类，须取得厅级及以上科研项目1项，或者发表B级及以上高水平论文1篇或高水平创作作品1件或专著1部，或者获得厅级及以上奖励1项，或者厅级及以上政府采信2项及以上。</w:t>
      </w:r>
    </w:p>
    <w:p w:rsidR="00983647" w:rsidRPr="00A11220" w:rsidRDefault="00983647" w:rsidP="00A11220">
      <w:pPr>
        <w:widowControl/>
        <w:ind w:firstLineChars="150" w:firstLine="270"/>
        <w:jc w:val="left"/>
        <w:rPr>
          <w:rFonts w:ascii="新宋体" w:eastAsia="新宋体" w:hAnsi="新宋体" w:cs="宋体"/>
          <w:kern w:val="0"/>
          <w:sz w:val="18"/>
          <w:szCs w:val="18"/>
        </w:rPr>
      </w:pPr>
      <w:r w:rsidRPr="00A11220">
        <w:rPr>
          <w:rFonts w:ascii="新宋体" w:eastAsia="新宋体" w:hAnsi="新宋体" w:cs="宋体" w:hint="eastAsia"/>
          <w:kern w:val="0"/>
          <w:sz w:val="18"/>
          <w:szCs w:val="18"/>
        </w:rPr>
        <w:t>以上科研业绩均须以三峡大学为第一完成单位，到校工作满3年进行考核，未完成上述业绩要求的，予以转岗或者解聘。</w:t>
      </w:r>
    </w:p>
    <w:p w:rsidR="00654522" w:rsidRDefault="00654522"/>
    <w:p w:rsidR="00A11220" w:rsidRPr="00983647" w:rsidRDefault="00166835">
      <w:r>
        <w:rPr>
          <w:noProof/>
        </w:rPr>
        <w:drawing>
          <wp:inline distT="0" distB="0" distL="0" distR="0">
            <wp:extent cx="5274310" cy="543468"/>
            <wp:effectExtent l="19050" t="0" r="2540" b="0"/>
            <wp:docPr id="3" name="图片 3" descr="C:\Documents and Settings\Administrator\Application Data\Tencent\Users\463313487\QQ\WinTemp\RichOle\$1_@G5J`}P2MQSEPW7E_3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463313487\QQ\WinTemp\RichOle\$1_@G5J`}P2MQSEPW7E_3D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220" w:rsidRPr="00983647" w:rsidSect="0065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47" w:rsidRDefault="00F93847" w:rsidP="00060566">
      <w:r>
        <w:separator/>
      </w:r>
    </w:p>
  </w:endnote>
  <w:endnote w:type="continuationSeparator" w:id="1">
    <w:p w:rsidR="00F93847" w:rsidRDefault="00F93847" w:rsidP="0006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47" w:rsidRDefault="00F93847" w:rsidP="00060566">
      <w:r>
        <w:separator/>
      </w:r>
    </w:p>
  </w:footnote>
  <w:footnote w:type="continuationSeparator" w:id="1">
    <w:p w:rsidR="00F93847" w:rsidRDefault="00F93847" w:rsidP="00060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B6BC"/>
    <w:multiLevelType w:val="singleLevel"/>
    <w:tmpl w:val="544DB6B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66"/>
    <w:rsid w:val="00060566"/>
    <w:rsid w:val="00166835"/>
    <w:rsid w:val="00200D43"/>
    <w:rsid w:val="00654522"/>
    <w:rsid w:val="00983647"/>
    <w:rsid w:val="009D21E2"/>
    <w:rsid w:val="00A11220"/>
    <w:rsid w:val="00F9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05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0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2014-10-28T02:42:00Z</dcterms:created>
  <dcterms:modified xsi:type="dcterms:W3CDTF">2014-10-28T02:53:00Z</dcterms:modified>
</cp:coreProperties>
</file>