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200" w:afterAutospacing="0" w:line="276" w:lineRule="auto"/>
        <w:ind w:firstLine="0" w:firstLineChars="0"/>
        <w:jc w:val="both"/>
        <w:textAlignment w:val="baseline"/>
        <w:rPr>
          <w:rFonts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</w:rPr>
        <w:t>附件3：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</w:pPr>
      <w:bookmarkStart w:id="0" w:name="_GoBack"/>
      <w:r>
        <w:rPr>
          <w:rFonts w:hint="eastAsia"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  <w:t>2021年上海市大学生生涯规划大赛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</w:pPr>
      <w:r>
        <w:rPr>
          <w:rFonts w:hint="eastAsia"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  <w:t>生涯规划报告书</w:t>
      </w:r>
      <w:bookmarkEnd w:id="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黑体" w:hAnsi="黑体" w:eastAsia="黑体" w:cs="仿宋_GB2312"/>
          <w:b/>
          <w:i w:val="0"/>
          <w:caps w:val="0"/>
          <w:spacing w:val="0"/>
          <w:w w:val="100"/>
          <w:sz w:val="52"/>
          <w:szCs w:val="56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学校：_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学院：_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专业：_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姓名：_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报名组别：_____________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联系方式: 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</w:t>
      </w:r>
    </w:p>
    <w:p>
      <w:pPr>
        <w:snapToGrid/>
        <w:spacing w:before="0" w:beforeAutospacing="0" w:after="0" w:afterAutospacing="0" w:line="360" w:lineRule="auto"/>
        <w:ind w:firstLine="562" w:firstLineChars="200"/>
        <w:jc w:val="center"/>
        <w:textAlignment w:val="baseline"/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指导老师: _</w:t>
      </w:r>
      <w:r>
        <w:rPr>
          <w:rFonts w:ascii="宋体" w:hAnsi="宋体" w:cs="仿宋_GB2312"/>
          <w:b/>
          <w:i w:val="0"/>
          <w:caps w:val="0"/>
          <w:spacing w:val="0"/>
          <w:w w:val="100"/>
          <w:sz w:val="28"/>
          <w:szCs w:val="28"/>
        </w:rPr>
        <w:t>____________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24"/>
        </w:rPr>
      </w:pPr>
    </w:p>
    <w:tbl>
      <w:tblPr>
        <w:tblStyle w:val="5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自我认知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可借助自我反省、他人评价、职业测评等方法，对自身性格，能力，兴趣、特长、学识、情商、智商等方面进行自我探索。不指定职业测评系统，推荐使用教育部学职平台（https://xz.chsi.com.cn/home.action）进行职业测评，此系统免费。）</w:t>
            </w:r>
          </w:p>
          <w:p>
            <w:pPr>
              <w:snapToGrid/>
              <w:spacing w:before="0" w:beforeAutospacing="0" w:after="0" w:afterAutospacing="0" w:line="312" w:lineRule="auto"/>
              <w:jc w:val="both"/>
              <w:textAlignment w:val="baseline"/>
              <w:rPr>
                <w:rFonts w:ascii="楷体" w:hAnsi="楷体" w:eastAsia="楷体" w:cs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职业认知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（利用生涯人物访谈、书报等出版物、行业调研、实习兼职实践、网络信息等获取职业信息的渠道搜索职业信息，进行职业探索。）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职业决策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</w:t>
            </w:r>
            <w:r>
              <w:rPr>
                <w:rFonts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需运用科学的决策方法予以合理定位</w:t>
            </w:r>
            <w:r>
              <w:rPr>
                <w:rFonts w:hint="eastAsia"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，如通过SWOT分析法、生涯决策平衡单、基准线法等方式，综合运用推理，比较和数据资料进行职业目标的决策定位。）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计划制定与实施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应突出大学期间专业知识学习、职业技能提高的方案设计及可行性分析，并注重对各种资源（如知识资源、人脉资源、资金资源等）的积累方式和途径。根据所做的职业决策，采用有效的方法对目标进行合理的分解，选择合适的学业生涯发展路径，并制定学业生涯发展计划及毕业后3内的职业适应计划，将规划付诸行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楷体" w:hAnsi="楷体" w:eastAsia="楷体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反馈修正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（应有合理的备选方案、分析及实施计划。根据内外部环境变化有可能带来的影响，选择合理可行的职业目标备选方案，做到适时评估，及时修正并调整行动计划。）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142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个性化目标</w:t>
            </w:r>
          </w:p>
        </w:tc>
        <w:tc>
          <w:tcPr>
            <w:tcW w:w="72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（通过大学要完成的十件事进行展现，自由选择通过文字、绘画（可扫描粘贴入文档）、表格等方式，把个人在大学（或所规划的时间）期间预想要完成的十件事情表现出来。）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tabs>
                <w:tab w:val="left" w:pos="1751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</w:rPr>
              <w:tab/>
            </w:r>
          </w:p>
        </w:tc>
      </w:tr>
    </w:tbl>
    <w:p>
      <w:pPr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52DB"/>
    <w:rsid w:val="0D6332A1"/>
    <w:rsid w:val="11515028"/>
    <w:rsid w:val="38F752DB"/>
    <w:rsid w:val="760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2021-04-29T17:54:00Z</dcterms:created>
  <dc:creator>趴在柏树上的松鼠</dc:creator>
  <cp:lastModifiedBy>趴在柏树上的松鼠</cp:lastModifiedBy>
  <dcterms:modified xsi:type="dcterms:W3CDTF">2021-04-29T17:55:19Z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