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CE615">
      <w:pPr>
        <w:keepNext w:val="0"/>
        <w:keepLines w:val="0"/>
        <w:widowControl/>
        <w:suppressLineNumbers w:val="0"/>
        <w:spacing w:line="36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上海电力大学研究生培养方案制定（修订）指导意见</w:t>
      </w:r>
    </w:p>
    <w:p w14:paraId="0A7932C1">
      <w:pPr>
        <w:keepNext w:val="0"/>
        <w:keepLines w:val="0"/>
        <w:widowControl/>
        <w:suppressLineNumbers w:val="0"/>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（2025年</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月）</w:t>
      </w:r>
    </w:p>
    <w:p w14:paraId="4F41F37A">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按照“坚持立德树人、强化分类培养、突出交叉融合、深化实践创新”的思路，</w:t>
      </w:r>
      <w:r>
        <w:rPr>
          <w:rFonts w:hint="eastAsia" w:ascii="宋体" w:hAnsi="宋体" w:eastAsia="宋体" w:cs="宋体"/>
          <w:color w:val="auto"/>
          <w:sz w:val="24"/>
          <w:szCs w:val="24"/>
          <w:highlight w:val="none"/>
          <w:u w:val="none"/>
          <w:shd w:val="clear" w:color="auto" w:fill="FFFFFF"/>
          <w:lang w:val="en-US" w:eastAsia="zh-CN"/>
        </w:rPr>
        <w:t>以能源电力卓越工程师</w:t>
      </w:r>
      <w:r>
        <w:rPr>
          <w:rFonts w:hint="eastAsia" w:ascii="宋体" w:hAnsi="宋体" w:cs="宋体"/>
          <w:color w:val="auto"/>
          <w:sz w:val="24"/>
          <w:szCs w:val="24"/>
          <w:highlight w:val="none"/>
          <w:u w:val="none"/>
          <w:shd w:val="clear" w:color="auto" w:fill="FFFFFF"/>
          <w:lang w:val="en-US" w:eastAsia="zh-CN"/>
        </w:rPr>
        <w:t>学院</w:t>
      </w:r>
      <w:r>
        <w:rPr>
          <w:rFonts w:hint="eastAsia" w:ascii="宋体" w:hAnsi="宋体" w:eastAsia="宋体" w:cs="宋体"/>
          <w:color w:val="auto"/>
          <w:sz w:val="24"/>
          <w:szCs w:val="24"/>
          <w:highlight w:val="none"/>
          <w:u w:val="none"/>
          <w:shd w:val="clear" w:color="auto" w:fill="FFFFFF"/>
          <w:lang w:val="en-US" w:eastAsia="zh-CN"/>
        </w:rPr>
        <w:t>建设为契机，</w:t>
      </w:r>
      <w:r>
        <w:rPr>
          <w:rFonts w:hint="eastAsia" w:ascii="宋体" w:hAnsi="宋体" w:eastAsia="宋体" w:cs="宋体"/>
          <w:color w:val="000000"/>
          <w:kern w:val="0"/>
          <w:sz w:val="24"/>
          <w:szCs w:val="24"/>
          <w:highlight w:val="none"/>
          <w:lang w:val="en-US" w:eastAsia="zh-CN" w:bidi="ar"/>
        </w:rPr>
        <w:t>推进和落实研究生</w:t>
      </w:r>
      <w:r>
        <w:rPr>
          <w:rFonts w:hint="eastAsia" w:ascii="宋体" w:hAnsi="宋体" w:cs="宋体"/>
          <w:color w:val="000000"/>
          <w:kern w:val="0"/>
          <w:sz w:val="24"/>
          <w:szCs w:val="24"/>
          <w:highlight w:val="none"/>
          <w:lang w:val="en-US" w:eastAsia="zh-CN" w:bidi="ar"/>
        </w:rPr>
        <w:t>分类评价</w:t>
      </w:r>
      <w:r>
        <w:rPr>
          <w:rFonts w:hint="eastAsia" w:ascii="宋体" w:hAnsi="宋体" w:eastAsia="宋体" w:cs="宋体"/>
          <w:color w:val="000000"/>
          <w:kern w:val="0"/>
          <w:sz w:val="24"/>
          <w:szCs w:val="24"/>
          <w:highlight w:val="none"/>
          <w:lang w:val="en-US" w:eastAsia="zh-CN" w:bidi="ar"/>
        </w:rPr>
        <w:t>，从培养目标、研究方向、培养方式、课程体系、培养环节以及学位要求等方面更新培养方案，</w:t>
      </w:r>
      <w:r>
        <w:rPr>
          <w:rFonts w:hint="eastAsia" w:ascii="宋体" w:hAnsi="宋体" w:cs="宋体"/>
          <w:color w:val="auto"/>
          <w:sz w:val="24"/>
          <w:szCs w:val="24"/>
          <w:highlight w:val="none"/>
          <w:u w:val="none"/>
          <w:shd w:val="clear" w:color="auto" w:fill="FFFFFF"/>
          <w:lang w:val="en-US" w:eastAsia="zh-CN"/>
        </w:rPr>
        <w:t>构建适应新时代发展的研究生培养体系。</w:t>
      </w:r>
      <w:r>
        <w:rPr>
          <w:rFonts w:hint="eastAsia" w:ascii="宋体" w:hAnsi="宋体" w:eastAsia="宋体" w:cs="宋体"/>
          <w:color w:val="000000"/>
          <w:kern w:val="0"/>
          <w:sz w:val="24"/>
          <w:szCs w:val="24"/>
          <w:highlight w:val="none"/>
          <w:lang w:val="en-US" w:eastAsia="zh-CN" w:bidi="ar"/>
        </w:rPr>
        <w:t xml:space="preserve"> </w:t>
      </w:r>
    </w:p>
    <w:p w14:paraId="74D36EBA">
      <w:pPr>
        <w:keepNext w:val="0"/>
        <w:keepLines w:val="0"/>
        <w:widowControl/>
        <w:suppressLineNumbers w:val="0"/>
        <w:spacing w:line="360" w:lineRule="auto"/>
        <w:ind w:left="0" w:leftChars="0" w:firstLine="480" w:firstLineChars="20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single"/>
          <w:lang w:val="en-US" w:eastAsia="zh-CN" w:bidi="ar"/>
        </w:rPr>
        <w:t>学校充分发挥三大平台（能源电力学科思政教育</w:t>
      </w:r>
      <w:r>
        <w:rPr>
          <w:rFonts w:hint="eastAsia" w:ascii="宋体" w:hAnsi="宋体" w:cs="宋体"/>
          <w:color w:val="000000"/>
          <w:kern w:val="0"/>
          <w:sz w:val="24"/>
          <w:szCs w:val="24"/>
          <w:highlight w:val="none"/>
          <w:u w:val="single"/>
          <w:lang w:val="en-US" w:eastAsia="zh-CN" w:bidi="ar"/>
        </w:rPr>
        <w:t>平台</w:t>
      </w:r>
      <w:r>
        <w:rPr>
          <w:rFonts w:hint="eastAsia" w:ascii="宋体" w:hAnsi="宋体" w:eastAsia="宋体" w:cs="宋体"/>
          <w:color w:val="000000"/>
          <w:kern w:val="0"/>
          <w:sz w:val="24"/>
          <w:szCs w:val="24"/>
          <w:highlight w:val="none"/>
          <w:u w:val="single"/>
          <w:lang w:val="en-US" w:eastAsia="zh-CN" w:bidi="ar"/>
        </w:rPr>
        <w:t>、AI赋能学科交叉教育</w:t>
      </w:r>
      <w:r>
        <w:rPr>
          <w:rFonts w:hint="eastAsia" w:ascii="宋体" w:hAnsi="宋体" w:cs="宋体"/>
          <w:color w:val="000000"/>
          <w:kern w:val="0"/>
          <w:sz w:val="24"/>
          <w:szCs w:val="24"/>
          <w:highlight w:val="none"/>
          <w:u w:val="single"/>
          <w:lang w:val="en-US" w:eastAsia="zh-CN" w:bidi="ar"/>
        </w:rPr>
        <w:t>平台</w:t>
      </w:r>
      <w:r>
        <w:rPr>
          <w:rFonts w:hint="eastAsia" w:ascii="宋体" w:hAnsi="宋体" w:eastAsia="宋体" w:cs="宋体"/>
          <w:color w:val="000000"/>
          <w:kern w:val="0"/>
          <w:sz w:val="24"/>
          <w:szCs w:val="24"/>
          <w:highlight w:val="none"/>
          <w:u w:val="single"/>
          <w:lang w:val="en-US" w:eastAsia="zh-CN" w:bidi="ar"/>
        </w:rPr>
        <w:t>、STEM教育</w:t>
      </w:r>
      <w:r>
        <w:rPr>
          <w:rFonts w:hint="eastAsia" w:ascii="宋体" w:hAnsi="宋体" w:cs="宋体"/>
          <w:color w:val="000000"/>
          <w:kern w:val="0"/>
          <w:sz w:val="24"/>
          <w:szCs w:val="24"/>
          <w:highlight w:val="none"/>
          <w:u w:val="single"/>
          <w:lang w:val="en-US" w:eastAsia="zh-CN" w:bidi="ar"/>
        </w:rPr>
        <w:t>实践创新平台</w:t>
      </w:r>
      <w:r>
        <w:rPr>
          <w:rFonts w:hint="eastAsia" w:ascii="宋体" w:hAnsi="宋体" w:eastAsia="宋体" w:cs="宋体"/>
          <w:color w:val="000000"/>
          <w:kern w:val="0"/>
          <w:sz w:val="24"/>
          <w:szCs w:val="24"/>
          <w:highlight w:val="none"/>
          <w:u w:val="single"/>
          <w:lang w:val="en-US" w:eastAsia="zh-CN" w:bidi="ar"/>
        </w:rPr>
        <w:t>）</w:t>
      </w:r>
      <w:r>
        <w:rPr>
          <w:rFonts w:hint="eastAsia" w:ascii="宋体" w:hAnsi="宋体" w:cs="宋体"/>
          <w:color w:val="000000"/>
          <w:kern w:val="0"/>
          <w:sz w:val="24"/>
          <w:szCs w:val="24"/>
          <w:highlight w:val="none"/>
          <w:u w:val="single"/>
          <w:lang w:val="en-US" w:eastAsia="zh-CN" w:bidi="ar"/>
        </w:rPr>
        <w:t>功能</w:t>
      </w:r>
      <w:r>
        <w:rPr>
          <w:rFonts w:hint="eastAsia" w:ascii="宋体" w:hAnsi="宋体" w:eastAsia="宋体" w:cs="宋体"/>
          <w:color w:val="000000"/>
          <w:kern w:val="0"/>
          <w:sz w:val="24"/>
          <w:szCs w:val="24"/>
          <w:highlight w:val="none"/>
          <w:u w:val="single"/>
          <w:lang w:val="en-US" w:eastAsia="zh-CN" w:bidi="ar"/>
        </w:rPr>
        <w:t>，由三</w:t>
      </w:r>
      <w:r>
        <w:rPr>
          <w:rFonts w:hint="eastAsia" w:ascii="宋体" w:hAnsi="宋体" w:cs="宋体"/>
          <w:color w:val="000000"/>
          <w:kern w:val="0"/>
          <w:sz w:val="24"/>
          <w:szCs w:val="24"/>
          <w:highlight w:val="none"/>
          <w:u w:val="single"/>
          <w:lang w:val="en-US" w:eastAsia="zh-CN" w:bidi="ar"/>
        </w:rPr>
        <w:t>大</w:t>
      </w:r>
      <w:r>
        <w:rPr>
          <w:rFonts w:hint="eastAsia" w:ascii="宋体" w:hAnsi="宋体" w:eastAsia="宋体" w:cs="宋体"/>
          <w:color w:val="000000"/>
          <w:kern w:val="0"/>
          <w:sz w:val="24"/>
          <w:szCs w:val="24"/>
          <w:highlight w:val="none"/>
          <w:u w:val="single"/>
          <w:lang w:val="en-US" w:eastAsia="zh-CN" w:bidi="ar"/>
        </w:rPr>
        <w:t>平台牵头学院开展本学院</w:t>
      </w:r>
      <w:r>
        <w:rPr>
          <w:rFonts w:hint="eastAsia" w:ascii="宋体" w:hAnsi="宋体" w:cs="宋体"/>
          <w:color w:val="000000"/>
          <w:kern w:val="0"/>
          <w:sz w:val="24"/>
          <w:szCs w:val="24"/>
          <w:highlight w:val="none"/>
          <w:u w:val="single"/>
          <w:lang w:val="en-US" w:eastAsia="zh-CN" w:bidi="ar"/>
        </w:rPr>
        <w:t>相对应</w:t>
      </w:r>
      <w:r>
        <w:rPr>
          <w:rFonts w:hint="eastAsia" w:ascii="宋体" w:hAnsi="宋体" w:eastAsia="宋体" w:cs="宋体"/>
          <w:color w:val="000000"/>
          <w:kern w:val="0"/>
          <w:sz w:val="24"/>
          <w:szCs w:val="24"/>
          <w:highlight w:val="none"/>
          <w:u w:val="single"/>
          <w:lang w:val="en-US" w:eastAsia="zh-CN" w:bidi="ar"/>
        </w:rPr>
        <w:t>课程</w:t>
      </w:r>
      <w:r>
        <w:rPr>
          <w:rFonts w:hint="eastAsia" w:ascii="宋体" w:hAnsi="宋体" w:cs="宋体"/>
          <w:color w:val="000000"/>
          <w:kern w:val="0"/>
          <w:sz w:val="24"/>
          <w:szCs w:val="24"/>
          <w:highlight w:val="none"/>
          <w:u w:val="single"/>
          <w:lang w:val="en-US" w:eastAsia="zh-CN" w:bidi="ar"/>
        </w:rPr>
        <w:t>的</w:t>
      </w:r>
      <w:r>
        <w:rPr>
          <w:rFonts w:hint="eastAsia" w:ascii="宋体" w:hAnsi="宋体" w:eastAsia="宋体" w:cs="宋体"/>
          <w:color w:val="000000"/>
          <w:kern w:val="0"/>
          <w:sz w:val="24"/>
          <w:szCs w:val="24"/>
          <w:highlight w:val="none"/>
          <w:u w:val="single"/>
          <w:lang w:val="en-US" w:eastAsia="zh-CN" w:bidi="ar"/>
        </w:rPr>
        <w:t>示范建设</w:t>
      </w:r>
      <w:r>
        <w:rPr>
          <w:rFonts w:hint="eastAsia" w:ascii="宋体" w:hAnsi="宋体" w:cs="宋体"/>
          <w:color w:val="000000"/>
          <w:kern w:val="0"/>
          <w:sz w:val="24"/>
          <w:szCs w:val="24"/>
          <w:highlight w:val="none"/>
          <w:u w:val="single"/>
          <w:lang w:val="en-US" w:eastAsia="zh-CN" w:bidi="ar"/>
        </w:rPr>
        <w:t>，</w:t>
      </w:r>
      <w:r>
        <w:rPr>
          <w:rFonts w:hint="eastAsia" w:ascii="宋体" w:hAnsi="宋体" w:eastAsia="宋体" w:cs="宋体"/>
          <w:color w:val="000000"/>
          <w:kern w:val="0"/>
          <w:sz w:val="24"/>
          <w:szCs w:val="24"/>
          <w:highlight w:val="none"/>
          <w:u w:val="single"/>
          <w:lang w:val="en-US" w:eastAsia="zh-CN" w:bidi="ar"/>
        </w:rPr>
        <w:t>后续在全校推广。</w:t>
      </w:r>
    </w:p>
    <w:p w14:paraId="40810EA2">
      <w:pPr>
        <w:spacing w:line="360" w:lineRule="auto"/>
        <w:jc w:val="left"/>
        <w:rPr>
          <w:rFonts w:hint="default" w:ascii="黑体" w:hAnsi="黑体" w:eastAsia="黑体"/>
          <w:sz w:val="28"/>
          <w:szCs w:val="28"/>
          <w:lang w:val="en-US" w:eastAsia="zh-CN"/>
        </w:rPr>
      </w:pPr>
      <w:r>
        <w:rPr>
          <w:rFonts w:hint="eastAsia" w:ascii="黑体" w:hAnsi="黑体" w:eastAsia="黑体"/>
          <w:sz w:val="28"/>
          <w:szCs w:val="28"/>
          <w:lang w:val="en-US" w:eastAsia="zh-CN"/>
        </w:rPr>
        <w:t>一、学术学位研究生培养方案要求</w:t>
      </w:r>
    </w:p>
    <w:p w14:paraId="10B1D9B9">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（一）学术学位博士研究生</w:t>
      </w:r>
    </w:p>
    <w:p w14:paraId="0800E7A3">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根据学科发展需要，在去年培养方案基础上修订。</w:t>
      </w:r>
    </w:p>
    <w:p w14:paraId="4A1B1A3F">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highlight w:val="none"/>
          <w:u w:val="single"/>
          <w:lang w:val="en-US" w:eastAsia="zh-CN" w:bidi="ar"/>
        </w:rPr>
      </w:pPr>
      <w:r>
        <w:rPr>
          <w:rFonts w:hint="eastAsia" w:asciiTheme="minorEastAsia" w:hAnsiTheme="minorEastAsia" w:eastAsiaTheme="minorEastAsia" w:cstheme="minorEastAsia"/>
          <w:color w:val="000000"/>
          <w:kern w:val="0"/>
          <w:sz w:val="24"/>
          <w:szCs w:val="24"/>
          <w:highlight w:val="none"/>
          <w:u w:val="single"/>
          <w:lang w:val="en-US" w:eastAsia="zh-CN" w:bidi="ar"/>
        </w:rPr>
        <w:t>《科学道德与学术规范》课程的授课过程与授课方式，按照原来实施，全校该门课的考核由“能源电力学科思政教育平台”牵头学院实施。</w:t>
      </w:r>
    </w:p>
    <w:p w14:paraId="22E7D139">
      <w:pPr>
        <w:autoSpaceDE w:val="0"/>
        <w:autoSpaceDN w:val="0"/>
        <w:adjustRightInd w:val="0"/>
        <w:spacing w:line="360" w:lineRule="auto"/>
        <w:ind w:firstLine="480" w:firstLineChars="200"/>
        <w:jc w:val="left"/>
        <w:rPr>
          <w:rFonts w:hint="eastAsia" w:ascii="宋体" w:hAnsi="宋体" w:cs="仿宋_GB2312"/>
          <w:color w:val="000000"/>
          <w:kern w:val="0"/>
          <w:sz w:val="24"/>
          <w:u w:val="none"/>
          <w:lang w:eastAsia="zh-CN"/>
        </w:rPr>
      </w:pPr>
      <w:r>
        <w:rPr>
          <w:rFonts w:hint="eastAsia"/>
          <w:sz w:val="24"/>
          <w:szCs w:val="24"/>
          <w:highlight w:val="none"/>
          <w:u w:val="none"/>
          <w:lang w:val="en-US" w:eastAsia="zh-CN"/>
        </w:rPr>
        <w:t>培养方案中须明确本专业学位论文与申请学位实践成果要求，以及明确毕业对成果要求。</w:t>
      </w:r>
    </w:p>
    <w:p w14:paraId="7F9E39B0">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（二）学术学位硕士研究生</w:t>
      </w:r>
    </w:p>
    <w:p w14:paraId="1BA6244D">
      <w:pPr>
        <w:spacing w:line="360" w:lineRule="auto"/>
        <w:jc w:val="left"/>
        <w:rPr>
          <w:rFonts w:hint="eastAsia" w:ascii="黑体" w:hAnsi="黑体" w:eastAsia="黑体"/>
          <w:sz w:val="24"/>
        </w:rPr>
      </w:pPr>
      <w:r>
        <w:rPr>
          <w:rFonts w:hint="eastAsia" w:ascii="黑体" w:hAnsi="黑体" w:eastAsia="黑体"/>
          <w:sz w:val="24"/>
          <w:lang w:val="en-US" w:eastAsia="zh-CN"/>
        </w:rPr>
        <w:t>1.</w:t>
      </w:r>
      <w:r>
        <w:rPr>
          <w:rFonts w:hint="eastAsia" w:ascii="黑体" w:hAnsi="黑体" w:eastAsia="黑体"/>
          <w:sz w:val="24"/>
        </w:rPr>
        <w:t>培养目标</w:t>
      </w:r>
    </w:p>
    <w:p w14:paraId="5EA651C1">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在满足国家对学术学位研究生要求的基础上，各专业紧密结合自身优势和特色，制定个性鲜明、各具特色的培养目标</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满足国家经济社会发展对人才的需求。培养目标和基本要求应具备有效性和可检验性。</w:t>
      </w:r>
    </w:p>
    <w:p w14:paraId="6410D8AB">
      <w:pPr>
        <w:spacing w:line="360" w:lineRule="auto"/>
        <w:rPr>
          <w:rFonts w:hint="eastAsia" w:ascii="黑体" w:hAnsi="黑体" w:eastAsia="黑体"/>
          <w:sz w:val="24"/>
        </w:rPr>
      </w:pPr>
      <w:r>
        <w:rPr>
          <w:rFonts w:hint="eastAsia" w:ascii="黑体" w:hAnsi="黑体" w:eastAsia="黑体"/>
          <w:sz w:val="24"/>
          <w:lang w:val="en-US" w:eastAsia="zh-CN"/>
        </w:rPr>
        <w:t>2</w:t>
      </w:r>
      <w:r>
        <w:rPr>
          <w:rFonts w:hint="eastAsia" w:ascii="黑体" w:hAnsi="黑体" w:eastAsia="黑体"/>
          <w:sz w:val="24"/>
          <w:lang w:eastAsia="zh-CN"/>
        </w:rPr>
        <w:t>.</w:t>
      </w:r>
      <w:r>
        <w:rPr>
          <w:rFonts w:hint="eastAsia" w:ascii="黑体" w:hAnsi="黑体" w:eastAsia="黑体"/>
          <w:sz w:val="24"/>
          <w:lang w:val="en-US" w:eastAsia="zh-CN"/>
        </w:rPr>
        <w:t>学制及</w:t>
      </w:r>
      <w:r>
        <w:rPr>
          <w:rFonts w:hint="eastAsia" w:ascii="黑体" w:hAnsi="黑体" w:eastAsia="黑体"/>
          <w:sz w:val="24"/>
        </w:rPr>
        <w:t>学习年限</w:t>
      </w:r>
    </w:p>
    <w:p w14:paraId="3A85D643">
      <w:pPr>
        <w:spacing w:line="360" w:lineRule="auto"/>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学制和学习年限参照《上海电力大学研究生学籍管理规定》执行，应在学校规定的最长修学年限内完成学业。</w:t>
      </w:r>
    </w:p>
    <w:p w14:paraId="06A36240">
      <w:pPr>
        <w:keepNext w:val="0"/>
        <w:keepLines w:val="0"/>
        <w:widowControl/>
        <w:suppressLineNumbers w:val="0"/>
        <w:spacing w:line="360" w:lineRule="auto"/>
        <w:jc w:val="left"/>
        <w:rPr>
          <w:rFonts w:ascii="宋体" w:hAnsi="宋体" w:cs="黑体"/>
          <w:b/>
          <w:color w:val="000000"/>
          <w:kern w:val="0"/>
          <w:sz w:val="24"/>
        </w:rPr>
      </w:pPr>
      <w:r>
        <w:rPr>
          <w:rFonts w:hint="eastAsia" w:ascii="黑体" w:hAnsi="黑体" w:eastAsia="黑体"/>
          <w:sz w:val="24"/>
          <w:lang w:val="en-US" w:eastAsia="zh-CN"/>
        </w:rPr>
        <w:t>3</w:t>
      </w:r>
      <w:r>
        <w:rPr>
          <w:rFonts w:hint="eastAsia" w:ascii="黑体" w:hAnsi="黑体" w:eastAsia="黑体"/>
          <w:sz w:val="24"/>
          <w:lang w:eastAsia="zh-CN"/>
        </w:rPr>
        <w:t>.</w:t>
      </w:r>
      <w:r>
        <w:rPr>
          <w:rFonts w:hint="eastAsia" w:ascii="宋体" w:hAnsi="宋体" w:cs="黑体"/>
          <w:b/>
          <w:color w:val="000000"/>
          <w:kern w:val="0"/>
          <w:sz w:val="24"/>
        </w:rPr>
        <w:t>研究方向</w:t>
      </w:r>
    </w:p>
    <w:p w14:paraId="45DAF352">
      <w:pPr>
        <w:autoSpaceDE w:val="0"/>
        <w:autoSpaceDN w:val="0"/>
        <w:adjustRightInd w:val="0"/>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培养方案按一级学科制定，一级学科培养方案的主要研究方向要突出重点，体现特色和优势，要紧密结合国家经济社会发展对职业人才的需求。</w:t>
      </w:r>
    </w:p>
    <w:p w14:paraId="76F5722C">
      <w:pPr>
        <w:autoSpaceDE w:val="0"/>
        <w:autoSpaceDN w:val="0"/>
        <w:adjustRightInd w:val="0"/>
        <w:spacing w:line="360" w:lineRule="auto"/>
        <w:jc w:val="left"/>
        <w:rPr>
          <w:rFonts w:ascii="宋体" w:hAnsi="宋体" w:cs="黑体"/>
          <w:b/>
          <w:color w:val="000000"/>
          <w:kern w:val="0"/>
          <w:sz w:val="24"/>
        </w:rPr>
      </w:pPr>
      <w:r>
        <w:rPr>
          <w:rFonts w:hint="eastAsia" w:ascii="宋体" w:hAnsi="宋体" w:cs="黑体"/>
          <w:b/>
          <w:color w:val="000000"/>
          <w:kern w:val="0"/>
          <w:sz w:val="24"/>
          <w:lang w:val="en-US" w:eastAsia="zh-CN"/>
        </w:rPr>
        <w:t>4</w:t>
      </w:r>
      <w:r>
        <w:rPr>
          <w:rFonts w:hint="eastAsia" w:ascii="宋体" w:hAnsi="宋体" w:cs="黑体"/>
          <w:b/>
          <w:color w:val="000000"/>
          <w:kern w:val="0"/>
          <w:sz w:val="24"/>
          <w:lang w:eastAsia="zh-CN"/>
        </w:rPr>
        <w:t>.</w:t>
      </w:r>
      <w:r>
        <w:rPr>
          <w:rFonts w:hint="eastAsia" w:ascii="宋体" w:hAnsi="宋体" w:cs="黑体"/>
          <w:b/>
          <w:color w:val="000000"/>
          <w:kern w:val="0"/>
          <w:sz w:val="24"/>
        </w:rPr>
        <w:t>培养方式</w:t>
      </w:r>
    </w:p>
    <w:p w14:paraId="5B37CA49">
      <w:pPr>
        <w:autoSpaceDE w:val="0"/>
        <w:autoSpaceDN w:val="0"/>
        <w:adjustRightInd w:val="0"/>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硕士生的培养采用导师负责制。硕士生培养采取课程学习和论文研究工作相结合的方式。通过课程学习和论文研究工作，系统掌握所在学科领域的理论知识，培养学生分析问题和解决问题的能力。</w:t>
      </w:r>
    </w:p>
    <w:p w14:paraId="635E496F">
      <w:pPr>
        <w:autoSpaceDE w:val="0"/>
        <w:autoSpaceDN w:val="0"/>
        <w:adjustRightInd w:val="0"/>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鼓励学院根据学科特点，借鉴国内外一流大学成功经验，不断探索，采取灵活多样、行之有效的培养方法，提高研究生培养质量。</w:t>
      </w:r>
    </w:p>
    <w:p w14:paraId="54DDB931">
      <w:pPr>
        <w:spacing w:line="360" w:lineRule="auto"/>
        <w:rPr>
          <w:rFonts w:hint="eastAsia" w:ascii="黑体" w:hAnsi="黑体" w:eastAsia="黑体"/>
          <w:sz w:val="24"/>
          <w:lang w:val="en-US" w:eastAsia="zh-CN"/>
        </w:rPr>
      </w:pPr>
      <w:r>
        <w:rPr>
          <w:rFonts w:hint="eastAsia" w:ascii="黑体" w:hAnsi="黑体" w:eastAsia="黑体"/>
          <w:sz w:val="24"/>
          <w:lang w:val="en-US" w:eastAsia="zh-CN"/>
        </w:rPr>
        <w:t>5</w:t>
      </w:r>
      <w:r>
        <w:rPr>
          <w:rFonts w:hint="eastAsia" w:ascii="黑体" w:hAnsi="黑体" w:eastAsia="黑体"/>
          <w:sz w:val="24"/>
          <w:lang w:eastAsia="zh-CN"/>
        </w:rPr>
        <w:t>.</w:t>
      </w:r>
      <w:r>
        <w:rPr>
          <w:rFonts w:hint="eastAsia" w:ascii="黑体" w:hAnsi="黑体" w:eastAsia="黑体"/>
          <w:sz w:val="24"/>
          <w:lang w:val="en-US" w:eastAsia="zh-CN"/>
        </w:rPr>
        <w:t>课程设置及</w:t>
      </w:r>
      <w:r>
        <w:rPr>
          <w:rFonts w:hint="eastAsia" w:ascii="黑体" w:hAnsi="黑体" w:eastAsia="黑体"/>
          <w:sz w:val="24"/>
        </w:rPr>
        <w:t>学分</w:t>
      </w:r>
      <w:r>
        <w:rPr>
          <w:rFonts w:hint="eastAsia" w:ascii="黑体" w:hAnsi="黑体" w:eastAsia="黑体"/>
          <w:sz w:val="24"/>
          <w:lang w:val="en-US" w:eastAsia="zh-CN"/>
        </w:rPr>
        <w:t>要求</w:t>
      </w:r>
    </w:p>
    <w:p w14:paraId="5F53EECD">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eastAsia="宋体" w:cs="宋体"/>
          <w:color w:val="000000"/>
          <w:kern w:val="0"/>
          <w:sz w:val="24"/>
          <w:szCs w:val="24"/>
          <w:highlight w:val="none"/>
          <w:lang w:val="en-US" w:eastAsia="zh-CN" w:bidi="ar"/>
        </w:rPr>
        <w:t>课程学习应紧密围绕人才培养目标及基本要求，在满足学分要求的同时，</w:t>
      </w:r>
      <w:r>
        <w:rPr>
          <w:rFonts w:hint="eastAsia" w:ascii="宋体" w:hAnsi="宋体" w:cs="仿宋_GB2312"/>
          <w:color w:val="000000"/>
          <w:kern w:val="0"/>
          <w:sz w:val="24"/>
        </w:rPr>
        <w:t>建立完善培养单位课程体系改进、优化机制，增强学术型研究生课程内容前沿性，通过高质量课程学习强化研究生的科学方法训练和学术素养培养。</w:t>
      </w:r>
    </w:p>
    <w:p w14:paraId="0C285E9C">
      <w:pPr>
        <w:autoSpaceDE w:val="0"/>
        <w:autoSpaceDN w:val="0"/>
        <w:adjustRightInd w:val="0"/>
        <w:spacing w:line="360" w:lineRule="auto"/>
        <w:jc w:val="left"/>
        <w:rPr>
          <w:rFonts w:hint="eastAsia" w:ascii="宋体" w:hAnsi="宋体" w:cs="黑体"/>
          <w:b/>
          <w:color w:val="000000"/>
          <w:kern w:val="0"/>
          <w:sz w:val="24"/>
        </w:rPr>
      </w:pPr>
      <w:r>
        <w:rPr>
          <w:rFonts w:hint="eastAsia" w:ascii="宋体" w:hAnsi="宋体" w:cs="黑体"/>
          <w:b/>
          <w:color w:val="000000"/>
          <w:kern w:val="0"/>
          <w:sz w:val="24"/>
        </w:rPr>
        <w:t>（</w:t>
      </w:r>
      <w:r>
        <w:rPr>
          <w:rFonts w:hint="eastAsia" w:ascii="宋体" w:hAnsi="宋体" w:cs="黑体"/>
          <w:b/>
          <w:color w:val="000000"/>
          <w:kern w:val="0"/>
          <w:sz w:val="24"/>
          <w:lang w:val="en-US" w:eastAsia="zh-CN"/>
        </w:rPr>
        <w:t>1</w:t>
      </w:r>
      <w:r>
        <w:rPr>
          <w:rFonts w:hint="eastAsia" w:ascii="宋体" w:hAnsi="宋体" w:cs="黑体"/>
          <w:b/>
          <w:color w:val="000000"/>
          <w:kern w:val="0"/>
          <w:sz w:val="24"/>
        </w:rPr>
        <w:t>）最低学分要求</w:t>
      </w:r>
    </w:p>
    <w:p w14:paraId="48735895">
      <w:pPr>
        <w:autoSpaceDE w:val="0"/>
        <w:autoSpaceDN w:val="0"/>
        <w:adjustRightInd w:val="0"/>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研究生课程学习采用学分制。一般课程每16学时计1学分。</w:t>
      </w:r>
    </w:p>
    <w:p w14:paraId="0EDDC230">
      <w:pPr>
        <w:autoSpaceDE w:val="0"/>
        <w:autoSpaceDN w:val="0"/>
        <w:adjustRightInd w:val="0"/>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硕士研究生应修最低总学分32学分，其中课程学分不少于30学分，必选环节2学分。</w:t>
      </w:r>
    </w:p>
    <w:p w14:paraId="66361D71">
      <w:pPr>
        <w:autoSpaceDE w:val="0"/>
        <w:autoSpaceDN w:val="0"/>
        <w:adjustRightInd w:val="0"/>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各学院、学科可根据本学科专业的特点，确保不低于上述基本要求的学分。</w:t>
      </w:r>
    </w:p>
    <w:p w14:paraId="167AF841">
      <w:pPr>
        <w:autoSpaceDE w:val="0"/>
        <w:autoSpaceDN w:val="0"/>
        <w:adjustRightInd w:val="0"/>
        <w:spacing w:line="360" w:lineRule="auto"/>
        <w:jc w:val="left"/>
        <w:rPr>
          <w:rFonts w:hint="eastAsia" w:ascii="宋体" w:hAnsi="宋体" w:cs="黑体"/>
          <w:b/>
          <w:color w:val="000000"/>
          <w:kern w:val="0"/>
          <w:sz w:val="24"/>
        </w:rPr>
      </w:pPr>
      <w:r>
        <w:rPr>
          <w:rFonts w:hint="eastAsia" w:ascii="宋体" w:hAnsi="宋体" w:cs="黑体"/>
          <w:b/>
          <w:color w:val="000000"/>
          <w:kern w:val="0"/>
          <w:sz w:val="24"/>
        </w:rPr>
        <w:t>（</w:t>
      </w:r>
      <w:r>
        <w:rPr>
          <w:rFonts w:hint="eastAsia" w:ascii="宋体" w:hAnsi="宋体" w:cs="黑体"/>
          <w:b/>
          <w:color w:val="000000"/>
          <w:kern w:val="0"/>
          <w:sz w:val="24"/>
          <w:lang w:val="en-US" w:eastAsia="zh-CN"/>
        </w:rPr>
        <w:t>2</w:t>
      </w:r>
      <w:r>
        <w:rPr>
          <w:rFonts w:hint="eastAsia" w:ascii="宋体" w:hAnsi="宋体" w:cs="黑体"/>
          <w:b/>
          <w:color w:val="000000"/>
          <w:kern w:val="0"/>
          <w:sz w:val="24"/>
        </w:rPr>
        <w:t>）具体课程设置</w:t>
      </w:r>
    </w:p>
    <w:p w14:paraId="4B4FDA70">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建立科学、系统的的课程体系，课程总数量应合理控制。</w:t>
      </w:r>
    </w:p>
    <w:p w14:paraId="608A9381">
      <w:pPr>
        <w:autoSpaceDE w:val="0"/>
        <w:autoSpaceDN w:val="0"/>
        <w:adjustRightInd w:val="0"/>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课程设置框架包含公共必修课程、专业基础课程、选修课程和必选环节。</w:t>
      </w:r>
    </w:p>
    <w:p w14:paraId="60B0716D">
      <w:pPr>
        <w:autoSpaceDE w:val="0"/>
        <w:autoSpaceDN w:val="0"/>
        <w:adjustRightInd w:val="0"/>
        <w:spacing w:line="360" w:lineRule="auto"/>
        <w:ind w:firstLine="482" w:firstLineChars="200"/>
        <w:jc w:val="left"/>
        <w:rPr>
          <w:rFonts w:hint="eastAsia" w:ascii="宋体" w:hAnsi="宋体" w:cs="仿宋_GB2312"/>
          <w:b/>
          <w:color w:val="000000"/>
          <w:kern w:val="0"/>
          <w:sz w:val="24"/>
        </w:rPr>
      </w:pPr>
      <w:r>
        <w:rPr>
          <w:rFonts w:ascii="宋体" w:hAnsi="宋体" w:cs="仿宋_GB2312"/>
          <w:b/>
          <w:color w:val="000000"/>
          <w:kern w:val="0"/>
          <w:sz w:val="24"/>
        </w:rPr>
        <w:t>1</w:t>
      </w:r>
      <w:r>
        <w:rPr>
          <w:rFonts w:hint="eastAsia" w:ascii="宋体" w:hAnsi="宋体" w:cs="仿宋_GB2312"/>
          <w:b/>
          <w:color w:val="000000"/>
          <w:kern w:val="0"/>
          <w:sz w:val="24"/>
          <w:lang w:eastAsia="zh-CN"/>
        </w:rPr>
        <w:t>）</w:t>
      </w:r>
      <w:r>
        <w:rPr>
          <w:rFonts w:hint="eastAsia" w:ascii="宋体" w:hAnsi="宋体" w:cs="仿宋_GB2312"/>
          <w:b/>
          <w:color w:val="000000"/>
          <w:kern w:val="0"/>
          <w:sz w:val="24"/>
        </w:rPr>
        <w:t>公共必修课程（=6</w:t>
      </w:r>
      <w:r>
        <w:rPr>
          <w:rFonts w:ascii="宋体" w:hAnsi="宋体" w:cs="仿宋_GB2312"/>
          <w:b/>
          <w:color w:val="000000"/>
          <w:kern w:val="0"/>
          <w:sz w:val="24"/>
        </w:rPr>
        <w:t>学分）</w:t>
      </w:r>
    </w:p>
    <w:p w14:paraId="58C9563B">
      <w:pPr>
        <w:autoSpaceDE w:val="0"/>
        <w:autoSpaceDN w:val="0"/>
        <w:adjustRightInd w:val="0"/>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包含：政治理论</w:t>
      </w:r>
      <w:r>
        <w:rPr>
          <w:rFonts w:hint="eastAsia" w:ascii="宋体" w:hAnsi="宋体" w:eastAsia="宋体" w:cs="宋体"/>
          <w:b w:val="0"/>
          <w:bCs w:val="0"/>
          <w:color w:val="000000"/>
          <w:kern w:val="0"/>
          <w:sz w:val="24"/>
          <w:szCs w:val="24"/>
          <w:lang w:val="en-US" w:eastAsia="zh-CN"/>
        </w:rPr>
        <w:t>3学分</w:t>
      </w:r>
      <w:r>
        <w:rPr>
          <w:rFonts w:hint="eastAsia" w:ascii="宋体" w:hAnsi="宋体" w:cs="仿宋_GB2312"/>
          <w:color w:val="000000"/>
          <w:kern w:val="0"/>
          <w:sz w:val="24"/>
        </w:rPr>
        <w:t>、外语</w:t>
      </w:r>
      <w:r>
        <w:rPr>
          <w:rFonts w:hint="eastAsia" w:ascii="宋体" w:hAnsi="宋体" w:eastAsia="宋体" w:cs="宋体"/>
          <w:b w:val="0"/>
          <w:bCs w:val="0"/>
          <w:color w:val="000000"/>
          <w:kern w:val="0"/>
          <w:sz w:val="24"/>
          <w:szCs w:val="24"/>
          <w:lang w:val="en-US" w:eastAsia="zh-CN"/>
        </w:rPr>
        <w:t>2学分</w:t>
      </w:r>
      <w:r>
        <w:rPr>
          <w:rFonts w:hint="eastAsia" w:ascii="宋体" w:hAnsi="宋体" w:cs="仿宋_GB2312"/>
          <w:color w:val="000000"/>
          <w:kern w:val="0"/>
          <w:sz w:val="24"/>
        </w:rPr>
        <w:t>、</w:t>
      </w:r>
      <w:r>
        <w:rPr>
          <w:rFonts w:hint="eastAsia" w:ascii="宋体" w:hAnsi="宋体" w:cs="仿宋_GB2312"/>
          <w:color w:val="000000"/>
          <w:kern w:val="0"/>
          <w:sz w:val="24"/>
          <w:lang w:val="en-US" w:eastAsia="zh-CN"/>
        </w:rPr>
        <w:t>学术道德与论文写作类</w:t>
      </w:r>
      <w:r>
        <w:rPr>
          <w:rFonts w:hint="eastAsia" w:ascii="宋体" w:hAnsi="宋体" w:eastAsia="宋体" w:cs="宋体"/>
          <w:b w:val="0"/>
          <w:bCs w:val="0"/>
          <w:color w:val="000000"/>
          <w:kern w:val="0"/>
          <w:sz w:val="24"/>
          <w:szCs w:val="24"/>
          <w:lang w:val="en-US" w:eastAsia="zh-CN"/>
        </w:rPr>
        <w:t>1学分</w:t>
      </w:r>
      <w:r>
        <w:rPr>
          <w:rFonts w:hint="eastAsia" w:ascii="宋体" w:hAnsi="宋体" w:cs="仿宋_GB2312"/>
          <w:color w:val="000000"/>
          <w:kern w:val="0"/>
          <w:sz w:val="24"/>
        </w:rPr>
        <w:t>。</w:t>
      </w:r>
    </w:p>
    <w:p w14:paraId="38221E49">
      <w:pPr>
        <w:autoSpaceDE w:val="0"/>
        <w:autoSpaceDN w:val="0"/>
        <w:adjustRightInd w:val="0"/>
        <w:spacing w:line="360" w:lineRule="auto"/>
        <w:ind w:firstLine="482" w:firstLineChars="200"/>
        <w:jc w:val="left"/>
        <w:rPr>
          <w:rFonts w:hint="eastAsia" w:ascii="宋体" w:hAnsi="宋体" w:cs="仿宋_GB2312"/>
          <w:b/>
          <w:color w:val="000000"/>
          <w:kern w:val="0"/>
          <w:sz w:val="24"/>
        </w:rPr>
      </w:pPr>
      <w:r>
        <w:rPr>
          <w:rFonts w:hint="eastAsia" w:ascii="宋体" w:hAnsi="宋体" w:cs="仿宋_GB2312"/>
          <w:b/>
          <w:color w:val="000000"/>
          <w:kern w:val="0"/>
          <w:sz w:val="24"/>
        </w:rPr>
        <w:t>2</w:t>
      </w:r>
      <w:r>
        <w:rPr>
          <w:rFonts w:hint="eastAsia" w:ascii="宋体" w:hAnsi="宋体" w:cs="仿宋_GB2312"/>
          <w:b/>
          <w:color w:val="000000"/>
          <w:kern w:val="0"/>
          <w:sz w:val="24"/>
          <w:lang w:eastAsia="zh-CN"/>
        </w:rPr>
        <w:t>）</w:t>
      </w:r>
      <w:r>
        <w:rPr>
          <w:rFonts w:hint="eastAsia" w:ascii="宋体" w:hAnsi="宋体" w:cs="仿宋_GB2312"/>
          <w:b/>
          <w:color w:val="000000"/>
          <w:kern w:val="0"/>
          <w:sz w:val="24"/>
        </w:rPr>
        <w:t>专业基础课（</w:t>
      </w:r>
      <w:bookmarkStart w:id="0" w:name="_Hlk102052570"/>
      <w:r>
        <w:rPr>
          <w:rFonts w:hint="eastAsia"/>
          <w:b/>
        </w:rPr>
        <w:t>≥</w:t>
      </w:r>
      <w:r>
        <w:rPr>
          <w:rFonts w:hint="eastAsia"/>
          <w:b/>
          <w:sz w:val="24"/>
        </w:rPr>
        <w:t>12学分</w:t>
      </w:r>
      <w:bookmarkEnd w:id="0"/>
      <w:r>
        <w:rPr>
          <w:rFonts w:hint="eastAsia"/>
          <w:b/>
          <w:sz w:val="24"/>
        </w:rPr>
        <w:t>）</w:t>
      </w:r>
    </w:p>
    <w:p w14:paraId="4D72E8DE">
      <w:pPr>
        <w:autoSpaceDE w:val="0"/>
        <w:autoSpaceDN w:val="0"/>
        <w:adjustRightInd w:val="0"/>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包含：数学类课程和专业类基础课程。</w:t>
      </w:r>
    </w:p>
    <w:p w14:paraId="7C7B43D2">
      <w:pPr>
        <w:autoSpaceDE w:val="0"/>
        <w:autoSpaceDN w:val="0"/>
        <w:adjustRightInd w:val="0"/>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①数学课程：</w:t>
      </w:r>
      <w:r>
        <w:rPr>
          <w:rFonts w:ascii="宋体" w:hAnsi="宋体" w:cs="仿宋_GB2312"/>
          <w:color w:val="000000"/>
          <w:kern w:val="0"/>
          <w:sz w:val="24"/>
        </w:rPr>
        <w:t>我校所有学术型授权点均应设置学科基础课。其中数学类基础课程指由</w:t>
      </w:r>
      <w:r>
        <w:rPr>
          <w:rFonts w:hint="eastAsia" w:ascii="宋体" w:hAnsi="宋体" w:cs="仿宋_GB2312"/>
          <w:color w:val="000000"/>
          <w:kern w:val="0"/>
          <w:sz w:val="24"/>
        </w:rPr>
        <w:t>数理</w:t>
      </w:r>
      <w:r>
        <w:rPr>
          <w:rFonts w:ascii="宋体" w:hAnsi="宋体" w:cs="仿宋_GB2312"/>
          <w:color w:val="000000"/>
          <w:kern w:val="0"/>
          <w:sz w:val="24"/>
        </w:rPr>
        <w:t>学院针对研究生开设的数学类课程。</w:t>
      </w:r>
    </w:p>
    <w:p w14:paraId="21608B45">
      <w:pPr>
        <w:autoSpaceDE w:val="0"/>
        <w:autoSpaceDN w:val="0"/>
        <w:adjustRightInd w:val="0"/>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②专业基础课程：至少有一门指南目录内核心课程（在课程设置中标明），可按一级学科范围内相关的二级学科进行拓宽。</w:t>
      </w:r>
    </w:p>
    <w:p w14:paraId="0D6CF77E">
      <w:pPr>
        <w:autoSpaceDE w:val="0"/>
        <w:autoSpaceDN w:val="0"/>
        <w:adjustRightInd w:val="0"/>
        <w:spacing w:line="360" w:lineRule="auto"/>
        <w:ind w:firstLine="482" w:firstLineChars="200"/>
        <w:jc w:val="left"/>
        <w:rPr>
          <w:rFonts w:hint="eastAsia" w:ascii="宋体" w:hAnsi="宋体" w:cs="仿宋_GB2312"/>
          <w:b/>
          <w:color w:val="000000"/>
          <w:kern w:val="0"/>
          <w:sz w:val="24"/>
        </w:rPr>
      </w:pPr>
      <w:r>
        <w:rPr>
          <w:rFonts w:ascii="宋体" w:hAnsi="宋体" w:cs="仿宋_GB2312"/>
          <w:b/>
          <w:color w:val="000000"/>
          <w:kern w:val="0"/>
          <w:sz w:val="24"/>
        </w:rPr>
        <w:t>3</w:t>
      </w:r>
      <w:r>
        <w:rPr>
          <w:rFonts w:hint="eastAsia" w:ascii="宋体" w:hAnsi="宋体" w:cs="仿宋_GB2312"/>
          <w:b/>
          <w:color w:val="000000"/>
          <w:kern w:val="0"/>
          <w:sz w:val="24"/>
          <w:lang w:eastAsia="zh-CN"/>
        </w:rPr>
        <w:t>）</w:t>
      </w:r>
      <w:r>
        <w:rPr>
          <w:rFonts w:hint="eastAsia" w:ascii="宋体" w:hAnsi="宋体" w:cs="仿宋_GB2312"/>
          <w:b/>
          <w:color w:val="000000"/>
          <w:kern w:val="0"/>
          <w:sz w:val="24"/>
        </w:rPr>
        <w:t>选修课程</w:t>
      </w:r>
    </w:p>
    <w:p w14:paraId="7225E98E">
      <w:pPr>
        <w:autoSpaceDE w:val="0"/>
        <w:autoSpaceDN w:val="0"/>
        <w:adjustRightInd w:val="0"/>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包括：专业技术课程，人文素养，体育健身和创新创业等公共选修课程。</w:t>
      </w:r>
    </w:p>
    <w:p w14:paraId="2E66F40E">
      <w:pPr>
        <w:numPr>
          <w:ilvl w:val="0"/>
          <w:numId w:val="0"/>
        </w:num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cs="仿宋_GB2312"/>
          <w:color w:val="000000"/>
          <w:kern w:val="0"/>
          <w:sz w:val="24"/>
        </w:rPr>
        <w:t>①</w:t>
      </w:r>
      <w:r>
        <w:rPr>
          <w:rFonts w:hint="eastAsia" w:ascii="宋体" w:hAnsi="宋体" w:cs="仿宋_GB2312"/>
          <w:bCs/>
          <w:color w:val="000000"/>
          <w:kern w:val="0"/>
          <w:sz w:val="24"/>
          <w:lang w:val="en-US" w:eastAsia="zh-CN"/>
        </w:rPr>
        <w:t>专业技术课包含</w:t>
      </w:r>
      <w:r>
        <w:rPr>
          <w:rFonts w:hint="eastAsia" w:ascii="宋体" w:hAnsi="宋体" w:cs="仿宋_GB2312"/>
          <w:bCs/>
          <w:color w:val="000000"/>
          <w:kern w:val="0"/>
          <w:sz w:val="24"/>
        </w:rPr>
        <w:t>专业特色课程（6学分）</w:t>
      </w:r>
      <w:r>
        <w:rPr>
          <w:rFonts w:hint="eastAsia" w:ascii="宋体" w:hAnsi="宋体" w:cs="仿宋_GB2312"/>
          <w:bCs/>
          <w:color w:val="000000"/>
          <w:kern w:val="0"/>
          <w:sz w:val="24"/>
          <w:lang w:eastAsia="zh-CN"/>
        </w:rPr>
        <w:t>，</w:t>
      </w:r>
      <w:r>
        <w:rPr>
          <w:rFonts w:hint="eastAsia" w:ascii="宋体" w:hAnsi="宋体" w:eastAsia="宋体" w:cs="宋体"/>
          <w:color w:val="000000"/>
          <w:kern w:val="0"/>
          <w:sz w:val="24"/>
          <w:szCs w:val="24"/>
          <w:lang w:val="en-US" w:eastAsia="zh-CN" w:bidi="ar"/>
        </w:rPr>
        <w:t>是指导师（组）依据学生培养、研究项目需求制定教学内容/学习任务的课程，制定个性化学习目标、任务、考核方式，</w:t>
      </w:r>
      <w:r>
        <w:rPr>
          <w:rFonts w:hint="eastAsia" w:ascii="宋体" w:hAnsi="宋体" w:eastAsia="宋体" w:cs="宋体"/>
          <w:color w:val="000000"/>
          <w:kern w:val="0"/>
          <w:sz w:val="24"/>
          <w:szCs w:val="24"/>
          <w:highlight w:val="none"/>
          <w:lang w:val="en-US" w:eastAsia="zh-CN" w:bidi="ar"/>
        </w:rPr>
        <w:t>增加人工智能赋能学科发展内容。</w:t>
      </w:r>
      <w:r>
        <w:rPr>
          <w:rFonts w:hint="eastAsia" w:ascii="宋体" w:hAnsi="宋体" w:eastAsia="宋体" w:cs="宋体"/>
          <w:color w:val="000000"/>
          <w:kern w:val="0"/>
          <w:sz w:val="24"/>
          <w:szCs w:val="24"/>
          <w:lang w:val="en-US" w:eastAsia="zh-CN" w:bidi="ar"/>
        </w:rPr>
        <w:t>具体课程名称及学分，由学院根据本专业确定；</w:t>
      </w:r>
    </w:p>
    <w:p w14:paraId="0D4F48D7">
      <w:pPr>
        <w:numPr>
          <w:ilvl w:val="0"/>
          <w:numId w:val="0"/>
        </w:num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cs="仿宋_GB2312"/>
          <w:color w:val="000000"/>
          <w:kern w:val="0"/>
          <w:sz w:val="24"/>
        </w:rPr>
        <w:t>②</w:t>
      </w:r>
      <w:r>
        <w:rPr>
          <w:rFonts w:hint="eastAsia" w:ascii="宋体" w:hAnsi="宋体" w:eastAsia="宋体" w:cs="宋体"/>
          <w:color w:val="000000"/>
          <w:kern w:val="0"/>
          <w:sz w:val="24"/>
          <w:szCs w:val="24"/>
          <w:lang w:val="en-US" w:eastAsia="zh-CN" w:bidi="ar"/>
        </w:rPr>
        <w:t>公共选修课包含思哲类、交叉类、</w:t>
      </w:r>
      <w:r>
        <w:rPr>
          <w:rFonts w:hint="eastAsia" w:ascii="宋体" w:hAnsi="宋体" w:cs="宋体"/>
          <w:color w:val="000000"/>
          <w:kern w:val="0"/>
          <w:sz w:val="24"/>
          <w:szCs w:val="24"/>
          <w:lang w:val="en-US" w:eastAsia="zh-CN" w:bidi="ar"/>
        </w:rPr>
        <w:t>创新创业</w:t>
      </w:r>
      <w:r>
        <w:rPr>
          <w:rFonts w:hint="eastAsia" w:ascii="宋体" w:hAnsi="宋体" w:eastAsia="宋体" w:cs="宋体"/>
          <w:color w:val="000000"/>
          <w:kern w:val="0"/>
          <w:sz w:val="24"/>
          <w:szCs w:val="24"/>
          <w:lang w:val="en-US" w:eastAsia="zh-CN" w:bidi="ar"/>
        </w:rPr>
        <w:t>类、外语类、经管类、人文素养类、体育健身类等，体现“五育并举”。</w:t>
      </w:r>
    </w:p>
    <w:p w14:paraId="5E5519EF">
      <w:pPr>
        <w:spacing w:line="360" w:lineRule="auto"/>
        <w:jc w:val="center"/>
        <w:rPr>
          <w:rFonts w:hint="eastAsia" w:ascii="黑体" w:hAnsi="黑体" w:eastAsia="黑体"/>
          <w:sz w:val="24"/>
        </w:rPr>
      </w:pPr>
      <w:r>
        <w:rPr>
          <w:rFonts w:hint="eastAsia" w:ascii="黑体" w:hAnsi="黑体" w:eastAsia="黑体"/>
          <w:sz w:val="24"/>
        </w:rPr>
        <w:t>**</w:t>
      </w:r>
      <w:r>
        <w:rPr>
          <w:rFonts w:hint="eastAsia" w:ascii="黑体" w:hAnsi="黑体" w:eastAsia="黑体"/>
          <w:sz w:val="24"/>
          <w:lang w:val="en-US" w:eastAsia="zh-CN"/>
        </w:rPr>
        <w:t>学术学位硕士</w:t>
      </w:r>
      <w:r>
        <w:rPr>
          <w:rFonts w:hint="eastAsia" w:ascii="黑体" w:hAnsi="黑体" w:eastAsia="黑体"/>
          <w:sz w:val="24"/>
        </w:rPr>
        <w:t>研究生课程及学分设置</w:t>
      </w:r>
    </w:p>
    <w:tbl>
      <w:tblPr>
        <w:tblStyle w:val="5"/>
        <w:tblW w:w="81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0"/>
        <w:gridCol w:w="1134"/>
        <w:gridCol w:w="3686"/>
        <w:gridCol w:w="708"/>
        <w:gridCol w:w="709"/>
        <w:gridCol w:w="851"/>
      </w:tblGrid>
      <w:tr w14:paraId="489239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1110" w:type="dxa"/>
            <w:noWrap w:val="0"/>
            <w:vAlign w:val="center"/>
          </w:tcPr>
          <w:p w14:paraId="1EEEF734">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课程类别</w:t>
            </w:r>
          </w:p>
          <w:p w14:paraId="28798582">
            <w:pPr>
              <w:pStyle w:val="8"/>
              <w:spacing w:line="240" w:lineRule="auto"/>
              <w:rPr>
                <w:rFonts w:hint="default" w:ascii="Times New Roman" w:hAnsi="Times New Roman" w:cs="Times New Roman"/>
                <w:sz w:val="18"/>
                <w:szCs w:val="18"/>
              </w:rPr>
            </w:pPr>
            <w:r>
              <w:rPr>
                <w:rFonts w:hint="default" w:ascii="Times New Roman" w:hAnsi="Times New Roman" w:cs="Times New Roman"/>
              </w:rPr>
              <w:t>≥32学分</w:t>
            </w:r>
          </w:p>
        </w:tc>
        <w:tc>
          <w:tcPr>
            <w:tcW w:w="1134" w:type="dxa"/>
            <w:noWrap w:val="0"/>
            <w:vAlign w:val="center"/>
          </w:tcPr>
          <w:p w14:paraId="795134AB">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课程编号</w:t>
            </w:r>
          </w:p>
        </w:tc>
        <w:tc>
          <w:tcPr>
            <w:tcW w:w="3686" w:type="dxa"/>
            <w:noWrap w:val="0"/>
            <w:vAlign w:val="center"/>
          </w:tcPr>
          <w:p w14:paraId="24D3B8A6">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课程名称（中英文）</w:t>
            </w:r>
          </w:p>
        </w:tc>
        <w:tc>
          <w:tcPr>
            <w:tcW w:w="708" w:type="dxa"/>
            <w:noWrap w:val="0"/>
            <w:vAlign w:val="center"/>
          </w:tcPr>
          <w:p w14:paraId="164769C1">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学分</w:t>
            </w:r>
          </w:p>
        </w:tc>
        <w:tc>
          <w:tcPr>
            <w:tcW w:w="709" w:type="dxa"/>
            <w:noWrap w:val="0"/>
            <w:vAlign w:val="center"/>
          </w:tcPr>
          <w:p w14:paraId="6A3DEC68">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学期</w:t>
            </w:r>
          </w:p>
        </w:tc>
        <w:tc>
          <w:tcPr>
            <w:tcW w:w="851" w:type="dxa"/>
            <w:noWrap w:val="0"/>
            <w:vAlign w:val="center"/>
          </w:tcPr>
          <w:p w14:paraId="3645437F">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备注</w:t>
            </w:r>
          </w:p>
        </w:tc>
      </w:tr>
      <w:tr w14:paraId="051C84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110" w:type="dxa"/>
            <w:vMerge w:val="restart"/>
            <w:noWrap w:val="0"/>
            <w:vAlign w:val="center"/>
          </w:tcPr>
          <w:p w14:paraId="3CC45332">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公共必修</w:t>
            </w:r>
          </w:p>
          <w:p w14:paraId="16109E7E">
            <w:pPr>
              <w:pStyle w:val="8"/>
              <w:spacing w:line="240" w:lineRule="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w:t>
            </w:r>
            <w:r>
              <w:rPr>
                <w:rFonts w:hint="eastAsia" w:cs="Times New Roman"/>
                <w:sz w:val="18"/>
                <w:szCs w:val="18"/>
                <w:lang w:val="en-US" w:eastAsia="zh-CN"/>
              </w:rPr>
              <w:t>6</w:t>
            </w:r>
            <w:r>
              <w:rPr>
                <w:rFonts w:hint="default" w:ascii="Times New Roman" w:hAnsi="Times New Roman" w:cs="Times New Roman"/>
                <w:sz w:val="18"/>
                <w:szCs w:val="18"/>
              </w:rPr>
              <w:t>学分</w:t>
            </w:r>
          </w:p>
        </w:tc>
        <w:tc>
          <w:tcPr>
            <w:tcW w:w="1134" w:type="dxa"/>
            <w:noWrap w:val="0"/>
            <w:vAlign w:val="center"/>
          </w:tcPr>
          <w:p w14:paraId="59C36C70">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10M5001</w:t>
            </w:r>
          </w:p>
        </w:tc>
        <w:tc>
          <w:tcPr>
            <w:tcW w:w="3686" w:type="dxa"/>
            <w:noWrap w:val="0"/>
            <w:vAlign w:val="center"/>
          </w:tcPr>
          <w:p w14:paraId="0CD0F322">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中国特色社会主义理论与实践研究</w:t>
            </w:r>
          </w:p>
          <w:p w14:paraId="4286838D">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Socialism with Chinese Characteristics: Theory and Practice</w:t>
            </w:r>
          </w:p>
        </w:tc>
        <w:tc>
          <w:tcPr>
            <w:tcW w:w="708" w:type="dxa"/>
            <w:noWrap w:val="0"/>
            <w:vAlign w:val="center"/>
          </w:tcPr>
          <w:p w14:paraId="22BF42C5">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2</w:t>
            </w:r>
          </w:p>
        </w:tc>
        <w:tc>
          <w:tcPr>
            <w:tcW w:w="709" w:type="dxa"/>
            <w:noWrap w:val="0"/>
            <w:vAlign w:val="center"/>
          </w:tcPr>
          <w:p w14:paraId="53FE1A78">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1</w:t>
            </w:r>
          </w:p>
        </w:tc>
        <w:tc>
          <w:tcPr>
            <w:tcW w:w="851" w:type="dxa"/>
            <w:noWrap w:val="0"/>
            <w:vAlign w:val="center"/>
          </w:tcPr>
          <w:p w14:paraId="33E516E6">
            <w:pPr>
              <w:pStyle w:val="8"/>
              <w:spacing w:line="240" w:lineRule="auto"/>
              <w:jc w:val="center"/>
              <w:rPr>
                <w:rFonts w:hint="default" w:ascii="Times New Roman" w:hAnsi="Times New Roman" w:eastAsia="宋体" w:cs="Times New Roman"/>
                <w:kern w:val="2"/>
                <w:sz w:val="18"/>
                <w:szCs w:val="18"/>
                <w:lang w:val="en-US" w:eastAsia="zh-CN" w:bidi="ar-SA"/>
              </w:rPr>
            </w:pPr>
          </w:p>
        </w:tc>
      </w:tr>
      <w:tr w14:paraId="37B645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110" w:type="dxa"/>
            <w:vMerge w:val="continue"/>
            <w:noWrap w:val="0"/>
            <w:vAlign w:val="center"/>
          </w:tcPr>
          <w:p w14:paraId="42A22AB1">
            <w:pPr>
              <w:pStyle w:val="8"/>
              <w:spacing w:line="240" w:lineRule="auto"/>
              <w:rPr>
                <w:rFonts w:hint="default" w:ascii="Times New Roman" w:hAnsi="Times New Roman" w:cs="Times New Roman"/>
                <w:sz w:val="18"/>
                <w:szCs w:val="18"/>
              </w:rPr>
            </w:pPr>
          </w:p>
        </w:tc>
        <w:tc>
          <w:tcPr>
            <w:tcW w:w="1134" w:type="dxa"/>
            <w:noWrap w:val="0"/>
            <w:vAlign w:val="center"/>
          </w:tcPr>
          <w:p w14:paraId="207949FA">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10M5002</w:t>
            </w:r>
          </w:p>
        </w:tc>
        <w:tc>
          <w:tcPr>
            <w:tcW w:w="3686" w:type="dxa"/>
            <w:noWrap w:val="0"/>
            <w:vAlign w:val="center"/>
          </w:tcPr>
          <w:p w14:paraId="1FF03FB2">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自然辩证法概论</w:t>
            </w:r>
          </w:p>
          <w:p w14:paraId="48917FAB">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Introduction to Nature Dialectics</w:t>
            </w:r>
          </w:p>
        </w:tc>
        <w:tc>
          <w:tcPr>
            <w:tcW w:w="708" w:type="dxa"/>
            <w:noWrap w:val="0"/>
            <w:vAlign w:val="center"/>
          </w:tcPr>
          <w:p w14:paraId="21E14FA5">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1</w:t>
            </w:r>
          </w:p>
        </w:tc>
        <w:tc>
          <w:tcPr>
            <w:tcW w:w="709" w:type="dxa"/>
            <w:noWrap w:val="0"/>
            <w:vAlign w:val="center"/>
          </w:tcPr>
          <w:p w14:paraId="2F6CA0DE">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1</w:t>
            </w:r>
          </w:p>
        </w:tc>
        <w:tc>
          <w:tcPr>
            <w:tcW w:w="851" w:type="dxa"/>
            <w:noWrap w:val="0"/>
            <w:vAlign w:val="center"/>
          </w:tcPr>
          <w:p w14:paraId="6DAD993C">
            <w:pPr>
              <w:pStyle w:val="8"/>
              <w:spacing w:line="240" w:lineRule="auto"/>
              <w:rPr>
                <w:rFonts w:hint="default" w:ascii="Times New Roman" w:hAnsi="Times New Roman" w:eastAsia="宋体" w:cs="Times New Roman"/>
                <w:kern w:val="2"/>
                <w:sz w:val="18"/>
                <w:szCs w:val="18"/>
                <w:lang w:val="en-US" w:eastAsia="zh-CN" w:bidi="ar-SA"/>
              </w:rPr>
            </w:pPr>
          </w:p>
        </w:tc>
      </w:tr>
      <w:tr w14:paraId="27CAF1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110" w:type="dxa"/>
            <w:vMerge w:val="continue"/>
            <w:noWrap w:val="0"/>
            <w:vAlign w:val="center"/>
          </w:tcPr>
          <w:p w14:paraId="2D0D36A6">
            <w:pPr>
              <w:pStyle w:val="8"/>
              <w:spacing w:line="240" w:lineRule="auto"/>
              <w:rPr>
                <w:rFonts w:hint="default" w:ascii="Times New Roman" w:hAnsi="Times New Roman" w:cs="Times New Roman"/>
                <w:sz w:val="18"/>
                <w:szCs w:val="18"/>
              </w:rPr>
            </w:pPr>
          </w:p>
        </w:tc>
        <w:tc>
          <w:tcPr>
            <w:tcW w:w="1134" w:type="dxa"/>
            <w:noWrap w:val="0"/>
            <w:vAlign w:val="center"/>
          </w:tcPr>
          <w:p w14:paraId="4BD23A03">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09M5001</w:t>
            </w:r>
          </w:p>
        </w:tc>
        <w:tc>
          <w:tcPr>
            <w:tcW w:w="3686" w:type="dxa"/>
            <w:noWrap w:val="0"/>
            <w:vAlign w:val="center"/>
          </w:tcPr>
          <w:p w14:paraId="09943D9E">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研究生综合英语</w:t>
            </w:r>
          </w:p>
          <w:p w14:paraId="3207233B">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Graduate Comprehensive English</w:t>
            </w:r>
          </w:p>
        </w:tc>
        <w:tc>
          <w:tcPr>
            <w:tcW w:w="708" w:type="dxa"/>
            <w:noWrap w:val="0"/>
            <w:vAlign w:val="center"/>
          </w:tcPr>
          <w:p w14:paraId="54271786">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2</w:t>
            </w:r>
          </w:p>
        </w:tc>
        <w:tc>
          <w:tcPr>
            <w:tcW w:w="709" w:type="dxa"/>
            <w:noWrap w:val="0"/>
            <w:vAlign w:val="center"/>
          </w:tcPr>
          <w:p w14:paraId="1667E1D4">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1</w:t>
            </w:r>
          </w:p>
        </w:tc>
        <w:tc>
          <w:tcPr>
            <w:tcW w:w="851" w:type="dxa"/>
            <w:noWrap w:val="0"/>
            <w:vAlign w:val="center"/>
          </w:tcPr>
          <w:p w14:paraId="32FF1412">
            <w:pPr>
              <w:pStyle w:val="8"/>
              <w:spacing w:line="240" w:lineRule="auto"/>
              <w:rPr>
                <w:rFonts w:hint="default" w:ascii="Times New Roman" w:hAnsi="Times New Roman" w:eastAsia="宋体" w:cs="Times New Roman"/>
                <w:kern w:val="2"/>
                <w:sz w:val="18"/>
                <w:szCs w:val="18"/>
                <w:lang w:val="en-US" w:eastAsia="zh-CN" w:bidi="ar-SA"/>
              </w:rPr>
            </w:pPr>
          </w:p>
        </w:tc>
      </w:tr>
      <w:tr w14:paraId="74792D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110" w:type="dxa"/>
            <w:vMerge w:val="continue"/>
            <w:noWrap w:val="0"/>
            <w:vAlign w:val="center"/>
          </w:tcPr>
          <w:p w14:paraId="6301F541">
            <w:pPr>
              <w:pStyle w:val="8"/>
              <w:spacing w:line="240" w:lineRule="auto"/>
              <w:rPr>
                <w:rFonts w:hint="default" w:ascii="Times New Roman" w:hAnsi="Times New Roman" w:cs="Times New Roman"/>
                <w:sz w:val="18"/>
                <w:szCs w:val="18"/>
              </w:rPr>
            </w:pPr>
          </w:p>
        </w:tc>
        <w:tc>
          <w:tcPr>
            <w:tcW w:w="1134" w:type="dxa"/>
            <w:noWrap w:val="0"/>
            <w:vAlign w:val="center"/>
          </w:tcPr>
          <w:p w14:paraId="63BB22D3">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10M5003</w:t>
            </w:r>
          </w:p>
        </w:tc>
        <w:tc>
          <w:tcPr>
            <w:tcW w:w="3686" w:type="dxa"/>
            <w:noWrap w:val="0"/>
            <w:vAlign w:val="center"/>
          </w:tcPr>
          <w:p w14:paraId="756774C4">
            <w:pPr>
              <w:pStyle w:val="8"/>
              <w:spacing w:line="240" w:lineRule="auto"/>
              <w:rPr>
                <w:rFonts w:hint="default" w:ascii="Times New Roman" w:hAnsi="Times New Roman" w:cs="Times New Roman"/>
                <w:b w:val="0"/>
                <w:bCs/>
                <w:color w:val="auto"/>
                <w:kern w:val="2"/>
                <w:sz w:val="18"/>
                <w:szCs w:val="18"/>
                <w:highlight w:val="none"/>
                <w:lang w:val="en-US" w:eastAsia="zh-CN" w:bidi="ar-SA"/>
              </w:rPr>
            </w:pPr>
            <w:r>
              <w:rPr>
                <w:rFonts w:hint="eastAsia" w:cs="Times New Roman"/>
                <w:b w:val="0"/>
                <w:bCs/>
                <w:color w:val="auto"/>
                <w:sz w:val="18"/>
                <w:szCs w:val="18"/>
                <w:highlight w:val="none"/>
                <w:lang w:val="en-US" w:eastAsia="zh-CN"/>
              </w:rPr>
              <w:t>科学道德与学术规范</w:t>
            </w:r>
          </w:p>
        </w:tc>
        <w:tc>
          <w:tcPr>
            <w:tcW w:w="708" w:type="dxa"/>
            <w:noWrap w:val="0"/>
            <w:vAlign w:val="center"/>
          </w:tcPr>
          <w:p w14:paraId="6B3AD22E">
            <w:pPr>
              <w:pStyle w:val="8"/>
              <w:spacing w:line="240" w:lineRule="auto"/>
              <w:rPr>
                <w:rFonts w:hint="default" w:ascii="Times New Roman" w:hAnsi="Times New Roman" w:cs="Times New Roman"/>
                <w:b w:val="0"/>
                <w:bCs/>
                <w:color w:val="auto"/>
                <w:kern w:val="2"/>
                <w:sz w:val="18"/>
                <w:szCs w:val="18"/>
                <w:highlight w:val="none"/>
                <w:lang w:val="en-US" w:eastAsia="zh-CN" w:bidi="ar-SA"/>
              </w:rPr>
            </w:pPr>
            <w:r>
              <w:rPr>
                <w:rFonts w:hint="default" w:ascii="Times New Roman" w:hAnsi="Times New Roman" w:cs="Times New Roman"/>
                <w:b w:val="0"/>
                <w:bCs/>
                <w:color w:val="auto"/>
                <w:sz w:val="18"/>
                <w:szCs w:val="18"/>
                <w:highlight w:val="none"/>
              </w:rPr>
              <w:t>1</w:t>
            </w:r>
          </w:p>
        </w:tc>
        <w:tc>
          <w:tcPr>
            <w:tcW w:w="709" w:type="dxa"/>
            <w:noWrap w:val="0"/>
            <w:vAlign w:val="center"/>
          </w:tcPr>
          <w:p w14:paraId="1ECD9202">
            <w:pPr>
              <w:pStyle w:val="8"/>
              <w:spacing w:line="240" w:lineRule="auto"/>
              <w:rPr>
                <w:rFonts w:hint="default" w:ascii="Times New Roman" w:hAnsi="Times New Roman" w:cs="Times New Roman"/>
                <w:b w:val="0"/>
                <w:bCs/>
                <w:color w:val="auto"/>
                <w:kern w:val="2"/>
                <w:sz w:val="18"/>
                <w:szCs w:val="18"/>
                <w:highlight w:val="none"/>
                <w:lang w:val="en-US" w:eastAsia="zh-CN" w:bidi="ar-SA"/>
              </w:rPr>
            </w:pPr>
            <w:r>
              <w:rPr>
                <w:rFonts w:hint="default" w:ascii="Times New Roman" w:hAnsi="Times New Roman" w:cs="Times New Roman"/>
                <w:b w:val="0"/>
                <w:bCs/>
                <w:color w:val="auto"/>
                <w:sz w:val="18"/>
                <w:szCs w:val="18"/>
                <w:highlight w:val="none"/>
              </w:rPr>
              <w:t>1</w:t>
            </w:r>
          </w:p>
        </w:tc>
        <w:tc>
          <w:tcPr>
            <w:tcW w:w="851" w:type="dxa"/>
            <w:noWrap w:val="0"/>
            <w:vAlign w:val="center"/>
          </w:tcPr>
          <w:p w14:paraId="7A4D31C8">
            <w:pPr>
              <w:pStyle w:val="8"/>
              <w:spacing w:line="240" w:lineRule="auto"/>
              <w:rPr>
                <w:rFonts w:hint="default" w:ascii="Times New Roman" w:hAnsi="Times New Roman" w:eastAsia="宋体" w:cs="Times New Roman"/>
                <w:b w:val="0"/>
                <w:bCs/>
                <w:color w:val="auto"/>
                <w:kern w:val="2"/>
                <w:sz w:val="18"/>
                <w:szCs w:val="18"/>
                <w:highlight w:val="none"/>
                <w:lang w:val="en-US" w:eastAsia="zh-CN" w:bidi="ar-SA"/>
              </w:rPr>
            </w:pPr>
            <w:r>
              <w:rPr>
                <w:rFonts w:hint="eastAsia" w:ascii="Times New Roman" w:hAnsi="Times New Roman" w:eastAsia="宋体" w:cs="Times New Roman"/>
                <w:b w:val="0"/>
                <w:bCs/>
                <w:color w:val="auto"/>
                <w:kern w:val="2"/>
                <w:sz w:val="18"/>
                <w:szCs w:val="18"/>
                <w:highlight w:val="none"/>
                <w:lang w:val="en-US" w:eastAsia="zh-CN" w:bidi="ar-SA"/>
              </w:rPr>
              <w:t>1学分</w:t>
            </w:r>
          </w:p>
        </w:tc>
      </w:tr>
      <w:tr w14:paraId="3E5900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110" w:type="dxa"/>
            <w:vMerge w:val="restart"/>
            <w:noWrap w:val="0"/>
            <w:vAlign w:val="center"/>
          </w:tcPr>
          <w:p w14:paraId="5736EF1A">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专业基础</w:t>
            </w:r>
          </w:p>
          <w:p w14:paraId="4B434687">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w:t>
            </w:r>
            <w:r>
              <w:rPr>
                <w:rFonts w:hint="eastAsia" w:cs="Times New Roman"/>
                <w:sz w:val="18"/>
                <w:szCs w:val="18"/>
                <w:lang w:val="en-US" w:eastAsia="zh-CN"/>
              </w:rPr>
              <w:t>12</w:t>
            </w:r>
            <w:r>
              <w:rPr>
                <w:rFonts w:hint="default" w:ascii="Times New Roman" w:hAnsi="Times New Roman" w:cs="Times New Roman"/>
                <w:sz w:val="18"/>
                <w:szCs w:val="18"/>
              </w:rPr>
              <w:t>学分</w:t>
            </w:r>
          </w:p>
        </w:tc>
        <w:tc>
          <w:tcPr>
            <w:tcW w:w="1134" w:type="dxa"/>
            <w:noWrap w:val="0"/>
            <w:vAlign w:val="center"/>
          </w:tcPr>
          <w:p w14:paraId="10022FFC">
            <w:pPr>
              <w:pStyle w:val="8"/>
              <w:spacing w:line="240" w:lineRule="auto"/>
              <w:rPr>
                <w:rFonts w:hint="default" w:ascii="Times New Roman" w:hAnsi="Times New Roman" w:cs="Times New Roman"/>
                <w:sz w:val="18"/>
                <w:szCs w:val="18"/>
              </w:rPr>
            </w:pPr>
          </w:p>
        </w:tc>
        <w:tc>
          <w:tcPr>
            <w:tcW w:w="3686" w:type="dxa"/>
            <w:noWrap w:val="0"/>
            <w:vAlign w:val="center"/>
          </w:tcPr>
          <w:p w14:paraId="691D7482">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数学类课程</w:t>
            </w:r>
          </w:p>
        </w:tc>
        <w:tc>
          <w:tcPr>
            <w:tcW w:w="708" w:type="dxa"/>
            <w:noWrap w:val="0"/>
            <w:vAlign w:val="center"/>
          </w:tcPr>
          <w:p w14:paraId="46426F11">
            <w:pPr>
              <w:pStyle w:val="8"/>
              <w:spacing w:line="240" w:lineRule="auto"/>
              <w:rPr>
                <w:rFonts w:hint="default" w:ascii="Times New Roman" w:hAnsi="Times New Roman" w:cs="Times New Roman"/>
                <w:sz w:val="18"/>
                <w:szCs w:val="18"/>
              </w:rPr>
            </w:pPr>
          </w:p>
        </w:tc>
        <w:tc>
          <w:tcPr>
            <w:tcW w:w="709" w:type="dxa"/>
            <w:noWrap w:val="0"/>
            <w:vAlign w:val="center"/>
          </w:tcPr>
          <w:p w14:paraId="18749165">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1" w:type="dxa"/>
            <w:noWrap w:val="0"/>
            <w:vAlign w:val="center"/>
          </w:tcPr>
          <w:p w14:paraId="40025807">
            <w:pPr>
              <w:pStyle w:val="8"/>
              <w:spacing w:line="240" w:lineRule="auto"/>
              <w:rPr>
                <w:rFonts w:hint="default" w:ascii="Times New Roman" w:hAnsi="Times New Roman" w:cs="Times New Roman"/>
                <w:sz w:val="18"/>
                <w:szCs w:val="18"/>
              </w:rPr>
            </w:pPr>
          </w:p>
        </w:tc>
      </w:tr>
      <w:tr w14:paraId="7B8EAF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110" w:type="dxa"/>
            <w:vMerge w:val="continue"/>
            <w:noWrap w:val="0"/>
            <w:vAlign w:val="center"/>
          </w:tcPr>
          <w:p w14:paraId="20AE9CD9">
            <w:pPr>
              <w:pStyle w:val="8"/>
              <w:spacing w:line="240" w:lineRule="auto"/>
              <w:rPr>
                <w:rFonts w:hint="default" w:ascii="Times New Roman" w:hAnsi="Times New Roman" w:cs="Times New Roman"/>
                <w:sz w:val="18"/>
                <w:szCs w:val="18"/>
              </w:rPr>
            </w:pPr>
          </w:p>
        </w:tc>
        <w:tc>
          <w:tcPr>
            <w:tcW w:w="1134" w:type="dxa"/>
            <w:noWrap w:val="0"/>
            <w:vAlign w:val="center"/>
          </w:tcPr>
          <w:p w14:paraId="5D1362F7">
            <w:pPr>
              <w:pStyle w:val="8"/>
              <w:spacing w:line="240" w:lineRule="auto"/>
              <w:rPr>
                <w:rFonts w:hint="default" w:ascii="Times New Roman" w:hAnsi="Times New Roman" w:cs="Times New Roman"/>
                <w:sz w:val="18"/>
                <w:szCs w:val="18"/>
              </w:rPr>
            </w:pPr>
          </w:p>
        </w:tc>
        <w:tc>
          <w:tcPr>
            <w:tcW w:w="3686" w:type="dxa"/>
            <w:noWrap w:val="0"/>
            <w:vAlign w:val="center"/>
          </w:tcPr>
          <w:p w14:paraId="49AC8F48">
            <w:pPr>
              <w:pStyle w:val="8"/>
              <w:spacing w:line="240" w:lineRule="auto"/>
              <w:rPr>
                <w:rFonts w:hint="default" w:ascii="Times New Roman" w:hAnsi="Times New Roman" w:cs="Times New Roman"/>
                <w:color w:val="FF0000"/>
                <w:sz w:val="18"/>
                <w:szCs w:val="18"/>
              </w:rPr>
            </w:pPr>
            <w:r>
              <w:rPr>
                <w:rFonts w:hint="default" w:ascii="Times New Roman" w:hAnsi="Times New Roman" w:cs="Times New Roman"/>
                <w:sz w:val="18"/>
                <w:szCs w:val="18"/>
              </w:rPr>
              <w:t>一级学科专业课</w:t>
            </w:r>
            <w:r>
              <w:rPr>
                <w:rFonts w:hint="default" w:ascii="Times New Roman" w:hAnsi="Times New Roman" w:cs="Times New Roman"/>
                <w:b w:val="0"/>
                <w:bCs w:val="0"/>
                <w:color w:val="auto"/>
                <w:sz w:val="18"/>
                <w:szCs w:val="18"/>
                <w:highlight w:val="yellow"/>
              </w:rPr>
              <w:t>（请标明核心课程）</w:t>
            </w:r>
          </w:p>
        </w:tc>
        <w:tc>
          <w:tcPr>
            <w:tcW w:w="708" w:type="dxa"/>
            <w:noWrap w:val="0"/>
            <w:vAlign w:val="center"/>
          </w:tcPr>
          <w:p w14:paraId="710CD494">
            <w:pPr>
              <w:pStyle w:val="8"/>
              <w:spacing w:line="240" w:lineRule="auto"/>
              <w:rPr>
                <w:rFonts w:hint="default" w:ascii="Times New Roman" w:hAnsi="Times New Roman" w:cs="Times New Roman"/>
                <w:sz w:val="18"/>
                <w:szCs w:val="18"/>
              </w:rPr>
            </w:pPr>
          </w:p>
        </w:tc>
        <w:tc>
          <w:tcPr>
            <w:tcW w:w="709" w:type="dxa"/>
            <w:noWrap w:val="0"/>
            <w:vAlign w:val="center"/>
          </w:tcPr>
          <w:p w14:paraId="7F5E8B39">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1" w:type="dxa"/>
            <w:noWrap w:val="0"/>
            <w:vAlign w:val="center"/>
          </w:tcPr>
          <w:p w14:paraId="2D4A3887">
            <w:pPr>
              <w:pStyle w:val="8"/>
              <w:spacing w:line="240" w:lineRule="auto"/>
              <w:rPr>
                <w:rFonts w:hint="default" w:ascii="Times New Roman" w:hAnsi="Times New Roman" w:cs="Times New Roman"/>
                <w:sz w:val="18"/>
                <w:szCs w:val="18"/>
              </w:rPr>
            </w:pPr>
          </w:p>
        </w:tc>
      </w:tr>
      <w:tr w14:paraId="122F75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1110" w:type="dxa"/>
            <w:vMerge w:val="continue"/>
            <w:noWrap w:val="0"/>
            <w:vAlign w:val="center"/>
          </w:tcPr>
          <w:p w14:paraId="2783D160">
            <w:pPr>
              <w:pStyle w:val="8"/>
              <w:spacing w:line="240" w:lineRule="auto"/>
              <w:rPr>
                <w:rFonts w:hint="default" w:ascii="Times New Roman" w:hAnsi="Times New Roman" w:cs="Times New Roman"/>
                <w:sz w:val="18"/>
                <w:szCs w:val="18"/>
              </w:rPr>
            </w:pPr>
          </w:p>
        </w:tc>
        <w:tc>
          <w:tcPr>
            <w:tcW w:w="1134" w:type="dxa"/>
            <w:noWrap w:val="0"/>
            <w:vAlign w:val="center"/>
          </w:tcPr>
          <w:p w14:paraId="7C37F88C">
            <w:pPr>
              <w:pStyle w:val="8"/>
              <w:spacing w:line="240" w:lineRule="auto"/>
              <w:rPr>
                <w:rFonts w:hint="default" w:ascii="Times New Roman" w:hAnsi="Times New Roman" w:cs="Times New Roman"/>
                <w:sz w:val="18"/>
                <w:szCs w:val="18"/>
              </w:rPr>
            </w:pPr>
          </w:p>
        </w:tc>
        <w:tc>
          <w:tcPr>
            <w:tcW w:w="3686" w:type="dxa"/>
            <w:noWrap w:val="0"/>
            <w:vAlign w:val="center"/>
          </w:tcPr>
          <w:p w14:paraId="3F54E51E">
            <w:pPr>
              <w:pStyle w:val="8"/>
              <w:spacing w:line="240" w:lineRule="auto"/>
              <w:rPr>
                <w:rFonts w:hint="default" w:ascii="Times New Roman" w:hAnsi="Times New Roman" w:eastAsia="宋体" w:cs="Times New Roman"/>
                <w:b/>
                <w:bCs/>
                <w:color w:val="FF0000"/>
                <w:sz w:val="18"/>
                <w:szCs w:val="18"/>
                <w:highlight w:val="yellow"/>
                <w:lang w:val="en-US" w:eastAsia="zh-CN"/>
              </w:rPr>
            </w:pPr>
            <w:r>
              <w:rPr>
                <w:rFonts w:hint="eastAsia" w:ascii="Times New Roman" w:hAnsi="Times New Roman" w:cs="Times New Roman"/>
                <w:b/>
                <w:bCs/>
                <w:color w:val="FF0000"/>
                <w:sz w:val="18"/>
                <w:szCs w:val="18"/>
                <w:highlight w:val="yellow"/>
                <w:lang w:val="en-US" w:eastAsia="zh-CN"/>
              </w:rPr>
              <w:t>A</w:t>
            </w:r>
            <w:r>
              <w:rPr>
                <w:rFonts w:hint="eastAsia" w:cs="Times New Roman"/>
                <w:b/>
                <w:bCs/>
                <w:color w:val="FF0000"/>
                <w:sz w:val="18"/>
                <w:szCs w:val="18"/>
                <w:highlight w:val="yellow"/>
                <w:lang w:val="en-US" w:eastAsia="zh-CN"/>
              </w:rPr>
              <w:t>I类</w:t>
            </w:r>
            <w:r>
              <w:rPr>
                <w:rFonts w:hint="eastAsia" w:ascii="Times New Roman" w:hAnsi="Times New Roman" w:cs="Times New Roman"/>
                <w:b/>
                <w:bCs/>
                <w:color w:val="FF0000"/>
                <w:sz w:val="18"/>
                <w:szCs w:val="18"/>
                <w:highlight w:val="yellow"/>
                <w:lang w:val="en-US" w:eastAsia="zh-CN"/>
              </w:rPr>
              <w:t>课</w:t>
            </w:r>
            <w:r>
              <w:rPr>
                <w:rFonts w:hint="eastAsia" w:cs="Times New Roman"/>
                <w:b/>
                <w:bCs/>
                <w:color w:val="FF0000"/>
                <w:sz w:val="18"/>
                <w:szCs w:val="18"/>
                <w:highlight w:val="yellow"/>
                <w:lang w:val="en-US" w:eastAsia="zh-CN"/>
              </w:rPr>
              <w:t>程</w:t>
            </w:r>
          </w:p>
        </w:tc>
        <w:tc>
          <w:tcPr>
            <w:tcW w:w="708" w:type="dxa"/>
            <w:noWrap w:val="0"/>
            <w:vAlign w:val="center"/>
          </w:tcPr>
          <w:p w14:paraId="4F09A5C2">
            <w:pPr>
              <w:pStyle w:val="8"/>
              <w:spacing w:line="240" w:lineRule="auto"/>
              <w:rPr>
                <w:rFonts w:hint="default" w:ascii="Times New Roman" w:hAnsi="Times New Roman" w:cs="Times New Roman"/>
                <w:b/>
                <w:bCs/>
                <w:color w:val="FF0000"/>
                <w:sz w:val="18"/>
                <w:szCs w:val="18"/>
                <w:highlight w:val="yellow"/>
              </w:rPr>
            </w:pPr>
          </w:p>
        </w:tc>
        <w:tc>
          <w:tcPr>
            <w:tcW w:w="709" w:type="dxa"/>
            <w:noWrap w:val="0"/>
            <w:vAlign w:val="center"/>
          </w:tcPr>
          <w:p w14:paraId="518EE016">
            <w:pPr>
              <w:pStyle w:val="8"/>
              <w:spacing w:line="240" w:lineRule="auto"/>
              <w:rPr>
                <w:rFonts w:hint="default" w:ascii="Times New Roman" w:hAnsi="Times New Roman" w:cs="Times New Roman"/>
                <w:b/>
                <w:bCs/>
                <w:color w:val="FF0000"/>
                <w:sz w:val="18"/>
                <w:szCs w:val="18"/>
                <w:highlight w:val="yellow"/>
              </w:rPr>
            </w:pPr>
            <w:r>
              <w:rPr>
                <w:rFonts w:hint="default" w:ascii="Times New Roman" w:hAnsi="Times New Roman" w:cs="Times New Roman"/>
                <w:b/>
                <w:bCs/>
                <w:color w:val="FF0000"/>
                <w:sz w:val="18"/>
                <w:szCs w:val="18"/>
                <w:highlight w:val="yellow"/>
              </w:rPr>
              <w:t>1</w:t>
            </w:r>
          </w:p>
        </w:tc>
        <w:tc>
          <w:tcPr>
            <w:tcW w:w="851" w:type="dxa"/>
            <w:noWrap w:val="0"/>
            <w:vAlign w:val="center"/>
          </w:tcPr>
          <w:p w14:paraId="0B5D22DC">
            <w:pPr>
              <w:pStyle w:val="8"/>
              <w:spacing w:line="240" w:lineRule="auto"/>
              <w:rPr>
                <w:rFonts w:hint="default" w:ascii="Times New Roman" w:hAnsi="Times New Roman" w:eastAsia="宋体" w:cs="Times New Roman"/>
                <w:b/>
                <w:bCs/>
                <w:color w:val="FF0000"/>
                <w:sz w:val="18"/>
                <w:szCs w:val="18"/>
                <w:highlight w:val="yellow"/>
                <w:lang w:val="en-US" w:eastAsia="zh-CN"/>
              </w:rPr>
            </w:pPr>
            <w:r>
              <w:rPr>
                <w:rFonts w:hint="eastAsia" w:cs="Times New Roman"/>
                <w:b/>
                <w:bCs/>
                <w:color w:val="FF0000"/>
                <w:sz w:val="18"/>
                <w:szCs w:val="18"/>
                <w:highlight w:val="yellow"/>
                <w:lang w:val="en-US" w:eastAsia="zh-CN"/>
              </w:rPr>
              <w:t>必选</w:t>
            </w:r>
          </w:p>
        </w:tc>
      </w:tr>
      <w:tr w14:paraId="7C2548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110" w:type="dxa"/>
            <w:noWrap w:val="0"/>
            <w:vAlign w:val="center"/>
          </w:tcPr>
          <w:p w14:paraId="7B0A5DC2">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专业技术</w:t>
            </w:r>
          </w:p>
          <w:p w14:paraId="08376C91">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学分</w:t>
            </w:r>
          </w:p>
        </w:tc>
        <w:tc>
          <w:tcPr>
            <w:tcW w:w="1134" w:type="dxa"/>
            <w:noWrap w:val="0"/>
            <w:vAlign w:val="center"/>
          </w:tcPr>
          <w:p w14:paraId="7E02B1F8">
            <w:pPr>
              <w:pStyle w:val="8"/>
              <w:spacing w:line="240" w:lineRule="auto"/>
              <w:rPr>
                <w:rFonts w:hint="default" w:ascii="Times New Roman" w:hAnsi="Times New Roman" w:cs="Times New Roman"/>
                <w:sz w:val="18"/>
                <w:szCs w:val="18"/>
              </w:rPr>
            </w:pPr>
          </w:p>
        </w:tc>
        <w:tc>
          <w:tcPr>
            <w:tcW w:w="3686" w:type="dxa"/>
            <w:noWrap w:val="0"/>
            <w:vAlign w:val="center"/>
          </w:tcPr>
          <w:p w14:paraId="11CDD034">
            <w:pPr>
              <w:pStyle w:val="8"/>
              <w:spacing w:line="240" w:lineRule="auto"/>
              <w:rPr>
                <w:rFonts w:hint="default" w:ascii="Times New Roman" w:hAnsi="Times New Roman" w:eastAsia="宋体" w:cs="Times New Roman"/>
                <w:b/>
                <w:bCs/>
                <w:color w:val="FF0000"/>
                <w:sz w:val="18"/>
                <w:szCs w:val="18"/>
                <w:highlight w:val="yellow"/>
                <w:lang w:val="en-US" w:eastAsia="zh-CN"/>
              </w:rPr>
            </w:pPr>
          </w:p>
        </w:tc>
        <w:tc>
          <w:tcPr>
            <w:tcW w:w="708" w:type="dxa"/>
            <w:noWrap w:val="0"/>
            <w:vAlign w:val="center"/>
          </w:tcPr>
          <w:p w14:paraId="20D63DFF">
            <w:pPr>
              <w:pStyle w:val="8"/>
              <w:spacing w:line="240" w:lineRule="auto"/>
              <w:rPr>
                <w:rFonts w:hint="default" w:ascii="Times New Roman" w:hAnsi="Times New Roman" w:cs="Times New Roman"/>
                <w:b/>
                <w:bCs/>
                <w:color w:val="FF0000"/>
                <w:sz w:val="18"/>
                <w:szCs w:val="18"/>
                <w:highlight w:val="yellow"/>
              </w:rPr>
            </w:pPr>
          </w:p>
        </w:tc>
        <w:tc>
          <w:tcPr>
            <w:tcW w:w="709" w:type="dxa"/>
            <w:noWrap w:val="0"/>
            <w:vAlign w:val="center"/>
          </w:tcPr>
          <w:p w14:paraId="7D610E32">
            <w:pPr>
              <w:pStyle w:val="8"/>
              <w:spacing w:line="240" w:lineRule="auto"/>
              <w:rPr>
                <w:rFonts w:hint="default" w:ascii="Times New Roman" w:hAnsi="Times New Roman" w:cs="Times New Roman"/>
                <w:b/>
                <w:bCs/>
                <w:color w:val="FF0000"/>
                <w:sz w:val="18"/>
                <w:szCs w:val="18"/>
                <w:highlight w:val="yellow"/>
              </w:rPr>
            </w:pPr>
          </w:p>
        </w:tc>
        <w:tc>
          <w:tcPr>
            <w:tcW w:w="851" w:type="dxa"/>
            <w:noWrap w:val="0"/>
            <w:vAlign w:val="center"/>
          </w:tcPr>
          <w:p w14:paraId="63337CD0">
            <w:pPr>
              <w:pStyle w:val="8"/>
              <w:spacing w:line="240" w:lineRule="auto"/>
              <w:rPr>
                <w:rFonts w:hint="default" w:ascii="Times New Roman" w:hAnsi="Times New Roman" w:eastAsia="宋体" w:cs="Times New Roman"/>
                <w:b/>
                <w:bCs/>
                <w:color w:val="FF0000"/>
                <w:sz w:val="18"/>
                <w:szCs w:val="18"/>
                <w:highlight w:val="yellow"/>
                <w:lang w:val="en-US" w:eastAsia="zh-CN"/>
              </w:rPr>
            </w:pPr>
          </w:p>
        </w:tc>
      </w:tr>
      <w:tr w14:paraId="225170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110" w:type="dxa"/>
            <w:noWrap w:val="0"/>
            <w:vAlign w:val="center"/>
          </w:tcPr>
          <w:p w14:paraId="02D18B94">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特色课程</w:t>
            </w:r>
          </w:p>
          <w:p w14:paraId="3D2774CE">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（名称自定义）</w:t>
            </w:r>
          </w:p>
          <w:p w14:paraId="40DE56C1">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=6学分</w:t>
            </w:r>
          </w:p>
        </w:tc>
        <w:tc>
          <w:tcPr>
            <w:tcW w:w="1134" w:type="dxa"/>
            <w:noWrap w:val="0"/>
            <w:vAlign w:val="center"/>
          </w:tcPr>
          <w:p w14:paraId="1CAA973D">
            <w:pPr>
              <w:pStyle w:val="8"/>
              <w:spacing w:line="240" w:lineRule="auto"/>
              <w:rPr>
                <w:rFonts w:hint="default" w:ascii="Times New Roman" w:hAnsi="Times New Roman" w:cs="Times New Roman"/>
                <w:sz w:val="18"/>
                <w:szCs w:val="18"/>
              </w:rPr>
            </w:pPr>
          </w:p>
        </w:tc>
        <w:tc>
          <w:tcPr>
            <w:tcW w:w="3686" w:type="dxa"/>
            <w:noWrap w:val="0"/>
            <w:vAlign w:val="center"/>
          </w:tcPr>
          <w:p w14:paraId="3AED964E">
            <w:pPr>
              <w:pStyle w:val="8"/>
              <w:spacing w:line="240" w:lineRule="auto"/>
              <w:rPr>
                <w:rFonts w:hint="default" w:ascii="Times New Roman" w:hAnsi="Times New Roman" w:cs="Times New Roman"/>
                <w:sz w:val="18"/>
                <w:szCs w:val="18"/>
              </w:rPr>
            </w:pPr>
          </w:p>
        </w:tc>
        <w:tc>
          <w:tcPr>
            <w:tcW w:w="708" w:type="dxa"/>
            <w:noWrap w:val="0"/>
            <w:vAlign w:val="center"/>
          </w:tcPr>
          <w:p w14:paraId="259B5CAE">
            <w:pPr>
              <w:pStyle w:val="8"/>
              <w:spacing w:line="240" w:lineRule="auto"/>
              <w:rPr>
                <w:rFonts w:hint="default" w:ascii="Times New Roman" w:hAnsi="Times New Roman" w:cs="Times New Roman"/>
                <w:sz w:val="18"/>
                <w:szCs w:val="18"/>
              </w:rPr>
            </w:pPr>
          </w:p>
        </w:tc>
        <w:tc>
          <w:tcPr>
            <w:tcW w:w="709" w:type="dxa"/>
            <w:noWrap w:val="0"/>
            <w:vAlign w:val="center"/>
          </w:tcPr>
          <w:p w14:paraId="0F17ABF5">
            <w:pPr>
              <w:pStyle w:val="8"/>
              <w:spacing w:line="240" w:lineRule="auto"/>
              <w:rPr>
                <w:rFonts w:hint="default" w:ascii="Times New Roman" w:hAnsi="Times New Roman" w:cs="Times New Roman"/>
                <w:sz w:val="18"/>
                <w:szCs w:val="18"/>
              </w:rPr>
            </w:pPr>
          </w:p>
        </w:tc>
        <w:tc>
          <w:tcPr>
            <w:tcW w:w="851" w:type="dxa"/>
            <w:noWrap w:val="0"/>
            <w:vAlign w:val="center"/>
          </w:tcPr>
          <w:p w14:paraId="7BA31696">
            <w:pPr>
              <w:pStyle w:val="8"/>
              <w:spacing w:line="240" w:lineRule="auto"/>
              <w:rPr>
                <w:rFonts w:hint="default" w:ascii="Times New Roman" w:hAnsi="Times New Roman" w:eastAsia="宋体" w:cs="Times New Roman"/>
                <w:sz w:val="18"/>
                <w:szCs w:val="18"/>
                <w:lang w:val="en-US" w:eastAsia="zh-CN"/>
              </w:rPr>
            </w:pPr>
          </w:p>
        </w:tc>
      </w:tr>
      <w:tr w14:paraId="2EBFAD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110" w:type="dxa"/>
            <w:noWrap w:val="0"/>
            <w:vAlign w:val="center"/>
          </w:tcPr>
          <w:p w14:paraId="4470A2CC">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公共选修</w:t>
            </w:r>
          </w:p>
        </w:tc>
        <w:tc>
          <w:tcPr>
            <w:tcW w:w="1134" w:type="dxa"/>
            <w:noWrap w:val="0"/>
            <w:vAlign w:val="center"/>
          </w:tcPr>
          <w:p w14:paraId="58C25747">
            <w:pPr>
              <w:pStyle w:val="8"/>
              <w:spacing w:line="240" w:lineRule="auto"/>
              <w:rPr>
                <w:rFonts w:hint="default" w:ascii="Times New Roman" w:hAnsi="Times New Roman" w:cs="Times New Roman"/>
                <w:sz w:val="18"/>
                <w:szCs w:val="18"/>
              </w:rPr>
            </w:pPr>
          </w:p>
        </w:tc>
        <w:tc>
          <w:tcPr>
            <w:tcW w:w="3686" w:type="dxa"/>
            <w:noWrap w:val="0"/>
            <w:vAlign w:val="center"/>
          </w:tcPr>
          <w:p w14:paraId="7F551942">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见《研究生公共选修课程目录》</w:t>
            </w:r>
          </w:p>
        </w:tc>
        <w:tc>
          <w:tcPr>
            <w:tcW w:w="708" w:type="dxa"/>
            <w:noWrap w:val="0"/>
            <w:vAlign w:val="center"/>
          </w:tcPr>
          <w:p w14:paraId="1F064DE2">
            <w:pPr>
              <w:pStyle w:val="8"/>
              <w:spacing w:line="240" w:lineRule="auto"/>
              <w:rPr>
                <w:rFonts w:hint="default" w:ascii="Times New Roman" w:hAnsi="Times New Roman" w:cs="Times New Roman"/>
                <w:sz w:val="18"/>
                <w:szCs w:val="18"/>
              </w:rPr>
            </w:pPr>
          </w:p>
        </w:tc>
        <w:tc>
          <w:tcPr>
            <w:tcW w:w="709" w:type="dxa"/>
            <w:noWrap w:val="0"/>
            <w:vAlign w:val="center"/>
          </w:tcPr>
          <w:p w14:paraId="35DCD9AC">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1" w:type="dxa"/>
            <w:noWrap w:val="0"/>
            <w:vAlign w:val="center"/>
          </w:tcPr>
          <w:p w14:paraId="7FFCC41A">
            <w:pPr>
              <w:pStyle w:val="8"/>
              <w:spacing w:line="240" w:lineRule="auto"/>
              <w:rPr>
                <w:rFonts w:hint="default" w:ascii="Times New Roman" w:hAnsi="Times New Roman" w:cs="Times New Roman"/>
                <w:sz w:val="18"/>
                <w:szCs w:val="18"/>
                <w:lang w:val="en-US" w:eastAsia="zh-CN"/>
              </w:rPr>
            </w:pPr>
          </w:p>
        </w:tc>
      </w:tr>
      <w:tr w14:paraId="20131E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110" w:type="dxa"/>
            <w:vMerge w:val="restart"/>
            <w:noWrap w:val="0"/>
            <w:vAlign w:val="center"/>
          </w:tcPr>
          <w:p w14:paraId="6FDF42AA">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必选环节</w:t>
            </w:r>
          </w:p>
          <w:p w14:paraId="380A44AD">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w:t>
            </w:r>
            <w:r>
              <w:rPr>
                <w:rFonts w:hint="eastAsia" w:cs="Times New Roman"/>
                <w:sz w:val="18"/>
                <w:szCs w:val="18"/>
                <w:lang w:val="en-US" w:eastAsia="zh-CN"/>
              </w:rPr>
              <w:t>2</w:t>
            </w:r>
            <w:r>
              <w:rPr>
                <w:rFonts w:hint="default" w:ascii="Times New Roman" w:hAnsi="Times New Roman" w:cs="Times New Roman"/>
                <w:sz w:val="18"/>
                <w:szCs w:val="18"/>
              </w:rPr>
              <w:t>学分</w:t>
            </w:r>
          </w:p>
        </w:tc>
        <w:tc>
          <w:tcPr>
            <w:tcW w:w="1134" w:type="dxa"/>
            <w:noWrap w:val="0"/>
            <w:vAlign w:val="center"/>
          </w:tcPr>
          <w:p w14:paraId="1415EA60">
            <w:pPr>
              <w:pStyle w:val="8"/>
              <w:spacing w:line="240" w:lineRule="auto"/>
              <w:rPr>
                <w:rFonts w:hint="default" w:ascii="Times New Roman" w:hAnsi="Times New Roman" w:cs="Times New Roman"/>
                <w:sz w:val="18"/>
                <w:szCs w:val="18"/>
              </w:rPr>
            </w:pPr>
          </w:p>
        </w:tc>
        <w:tc>
          <w:tcPr>
            <w:tcW w:w="3686" w:type="dxa"/>
            <w:noWrap w:val="0"/>
            <w:vAlign w:val="center"/>
          </w:tcPr>
          <w:p w14:paraId="77CEAF27">
            <w:pPr>
              <w:pStyle w:val="8"/>
              <w:spacing w:line="240" w:lineRule="auto"/>
              <w:rPr>
                <w:rFonts w:hint="default" w:ascii="Times New Roman" w:hAnsi="Times New Roman" w:eastAsia="宋体" w:cs="Times New Roman"/>
                <w:b/>
                <w:bCs/>
                <w:color w:val="FF0000"/>
                <w:kern w:val="2"/>
                <w:sz w:val="21"/>
                <w:szCs w:val="21"/>
                <w:highlight w:val="yellow"/>
                <w:lang w:val="en-US" w:eastAsia="zh-CN" w:bidi="ar-SA"/>
              </w:rPr>
            </w:pPr>
            <w:r>
              <w:rPr>
                <w:rFonts w:hint="default" w:ascii="Times New Roman" w:hAnsi="Times New Roman" w:cs="Times New Roman"/>
                <w:sz w:val="18"/>
                <w:szCs w:val="18"/>
                <w:highlight w:val="none"/>
              </w:rPr>
              <w:t>实践环节</w:t>
            </w:r>
          </w:p>
        </w:tc>
        <w:tc>
          <w:tcPr>
            <w:tcW w:w="708" w:type="dxa"/>
            <w:noWrap w:val="0"/>
            <w:vAlign w:val="center"/>
          </w:tcPr>
          <w:p w14:paraId="216DA1E4">
            <w:pPr>
              <w:pStyle w:val="8"/>
              <w:spacing w:line="240" w:lineRule="auto"/>
              <w:rPr>
                <w:rFonts w:hint="default" w:ascii="Times New Roman" w:hAnsi="Times New Roman" w:cs="Times New Roman"/>
                <w:b/>
                <w:bCs/>
                <w:color w:val="FF0000"/>
                <w:kern w:val="2"/>
                <w:sz w:val="18"/>
                <w:szCs w:val="18"/>
                <w:highlight w:val="yellow"/>
                <w:lang w:val="en-US" w:eastAsia="zh-CN" w:bidi="ar-SA"/>
              </w:rPr>
            </w:pPr>
            <w:r>
              <w:rPr>
                <w:rFonts w:hint="default" w:ascii="Times New Roman" w:hAnsi="Times New Roman" w:cs="Times New Roman"/>
                <w:sz w:val="18"/>
                <w:szCs w:val="18"/>
              </w:rPr>
              <w:t>1</w:t>
            </w:r>
          </w:p>
        </w:tc>
        <w:tc>
          <w:tcPr>
            <w:tcW w:w="709" w:type="dxa"/>
            <w:noWrap w:val="0"/>
            <w:vAlign w:val="center"/>
          </w:tcPr>
          <w:p w14:paraId="70E31A57">
            <w:pPr>
              <w:pStyle w:val="8"/>
              <w:spacing w:line="240" w:lineRule="auto"/>
              <w:rPr>
                <w:rFonts w:hint="default" w:ascii="Times New Roman" w:hAnsi="Times New Roman" w:cs="Times New Roman"/>
                <w:b/>
                <w:bCs/>
                <w:color w:val="FF0000"/>
                <w:kern w:val="2"/>
                <w:sz w:val="18"/>
                <w:szCs w:val="18"/>
                <w:highlight w:val="yellow"/>
                <w:lang w:val="en-US" w:eastAsia="zh-CN" w:bidi="ar-SA"/>
              </w:rPr>
            </w:pPr>
            <w:r>
              <w:rPr>
                <w:rFonts w:hint="default" w:ascii="Times New Roman" w:hAnsi="Times New Roman" w:cs="Times New Roman"/>
                <w:kern w:val="2"/>
                <w:sz w:val="18"/>
                <w:szCs w:val="18"/>
                <w:lang w:val="en-US" w:eastAsia="zh-CN" w:bidi="ar-SA"/>
              </w:rPr>
              <w:t>1-4</w:t>
            </w:r>
          </w:p>
        </w:tc>
        <w:tc>
          <w:tcPr>
            <w:tcW w:w="851" w:type="dxa"/>
            <w:noWrap w:val="0"/>
            <w:vAlign w:val="center"/>
          </w:tcPr>
          <w:p w14:paraId="7CB1853D">
            <w:pPr>
              <w:pStyle w:val="8"/>
              <w:spacing w:line="240" w:lineRule="auto"/>
              <w:rPr>
                <w:rFonts w:hint="default" w:ascii="Times New Roman" w:hAnsi="Times New Roman" w:cs="Times New Roman"/>
                <w:b/>
                <w:bCs/>
                <w:color w:val="FF0000"/>
                <w:kern w:val="2"/>
                <w:sz w:val="18"/>
                <w:szCs w:val="18"/>
                <w:highlight w:val="yellow"/>
                <w:lang w:val="en-US" w:eastAsia="zh-CN" w:bidi="ar-SA"/>
              </w:rPr>
            </w:pPr>
          </w:p>
        </w:tc>
      </w:tr>
      <w:tr w14:paraId="7538C1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110" w:type="dxa"/>
            <w:vMerge w:val="continue"/>
            <w:noWrap w:val="0"/>
            <w:vAlign w:val="center"/>
          </w:tcPr>
          <w:p w14:paraId="02149A7D">
            <w:pPr>
              <w:pStyle w:val="8"/>
              <w:spacing w:line="240" w:lineRule="auto"/>
              <w:rPr>
                <w:rFonts w:hint="default" w:ascii="Times New Roman" w:hAnsi="Times New Roman" w:cs="Times New Roman"/>
                <w:sz w:val="18"/>
                <w:szCs w:val="18"/>
              </w:rPr>
            </w:pPr>
          </w:p>
        </w:tc>
        <w:tc>
          <w:tcPr>
            <w:tcW w:w="1134" w:type="dxa"/>
            <w:noWrap w:val="0"/>
            <w:vAlign w:val="center"/>
          </w:tcPr>
          <w:p w14:paraId="446BDC1A">
            <w:pPr>
              <w:pStyle w:val="8"/>
              <w:spacing w:line="240" w:lineRule="auto"/>
              <w:rPr>
                <w:rFonts w:hint="default" w:ascii="Times New Roman" w:hAnsi="Times New Roman" w:cs="Times New Roman"/>
                <w:sz w:val="18"/>
                <w:szCs w:val="18"/>
              </w:rPr>
            </w:pPr>
          </w:p>
        </w:tc>
        <w:tc>
          <w:tcPr>
            <w:tcW w:w="3686" w:type="dxa"/>
            <w:noWrap w:val="0"/>
            <w:vAlign w:val="center"/>
          </w:tcPr>
          <w:p w14:paraId="1517FAB2">
            <w:pPr>
              <w:pStyle w:val="8"/>
              <w:spacing w:line="240" w:lineRule="auto"/>
              <w:rPr>
                <w:rFonts w:hint="default" w:ascii="Times New Roman" w:hAnsi="Times New Roman" w:eastAsia="宋体" w:cs="Times New Roman"/>
                <w:b/>
                <w:bCs/>
                <w:color w:val="FF0000"/>
                <w:kern w:val="2"/>
                <w:sz w:val="21"/>
                <w:szCs w:val="21"/>
                <w:highlight w:val="yellow"/>
                <w:lang w:val="en-US" w:eastAsia="zh-CN" w:bidi="ar-SA"/>
              </w:rPr>
            </w:pPr>
            <w:r>
              <w:rPr>
                <w:rFonts w:hint="default" w:ascii="Times New Roman" w:hAnsi="Times New Roman" w:cs="Times New Roman"/>
                <w:sz w:val="18"/>
                <w:szCs w:val="18"/>
              </w:rPr>
              <w:t>学术讲座与综合素养教育</w:t>
            </w:r>
          </w:p>
        </w:tc>
        <w:tc>
          <w:tcPr>
            <w:tcW w:w="708" w:type="dxa"/>
            <w:noWrap w:val="0"/>
            <w:vAlign w:val="center"/>
          </w:tcPr>
          <w:p w14:paraId="5016699E">
            <w:pPr>
              <w:pStyle w:val="8"/>
              <w:spacing w:line="240" w:lineRule="auto"/>
              <w:rPr>
                <w:rFonts w:hint="default" w:ascii="Times New Roman" w:hAnsi="Times New Roman" w:cs="Times New Roman"/>
                <w:b/>
                <w:bCs/>
                <w:color w:val="FF0000"/>
                <w:sz w:val="18"/>
                <w:szCs w:val="18"/>
                <w:highlight w:val="yellow"/>
              </w:rPr>
            </w:pPr>
            <w:r>
              <w:rPr>
                <w:rFonts w:hint="default" w:ascii="Times New Roman" w:hAnsi="Times New Roman" w:cs="Times New Roman"/>
                <w:sz w:val="18"/>
                <w:szCs w:val="18"/>
              </w:rPr>
              <w:t>1</w:t>
            </w:r>
          </w:p>
        </w:tc>
        <w:tc>
          <w:tcPr>
            <w:tcW w:w="709" w:type="dxa"/>
            <w:noWrap w:val="0"/>
            <w:vAlign w:val="center"/>
          </w:tcPr>
          <w:p w14:paraId="5E544492">
            <w:pPr>
              <w:pStyle w:val="8"/>
              <w:spacing w:line="240" w:lineRule="auto"/>
              <w:rPr>
                <w:rFonts w:hint="default" w:ascii="Times New Roman" w:hAnsi="Times New Roman" w:cs="Times New Roman"/>
                <w:b/>
                <w:bCs/>
                <w:color w:val="FF0000"/>
                <w:sz w:val="18"/>
                <w:szCs w:val="18"/>
                <w:highlight w:val="yellow"/>
              </w:rPr>
            </w:pPr>
            <w:r>
              <w:rPr>
                <w:rFonts w:hint="default" w:ascii="Times New Roman" w:hAnsi="Times New Roman" w:cs="Times New Roman"/>
                <w:sz w:val="18"/>
                <w:szCs w:val="18"/>
              </w:rPr>
              <w:t>1-4</w:t>
            </w:r>
          </w:p>
        </w:tc>
        <w:tc>
          <w:tcPr>
            <w:tcW w:w="851" w:type="dxa"/>
            <w:noWrap w:val="0"/>
            <w:vAlign w:val="center"/>
          </w:tcPr>
          <w:p w14:paraId="3802113E">
            <w:pPr>
              <w:pStyle w:val="8"/>
              <w:spacing w:line="240" w:lineRule="auto"/>
              <w:rPr>
                <w:rFonts w:hint="default" w:ascii="Times New Roman" w:hAnsi="Times New Roman" w:cs="Times New Roman"/>
                <w:b/>
                <w:bCs/>
                <w:color w:val="FF0000"/>
                <w:sz w:val="18"/>
                <w:szCs w:val="18"/>
                <w:highlight w:val="yellow"/>
                <w:lang w:val="en-US" w:eastAsia="zh-CN"/>
              </w:rPr>
            </w:pPr>
          </w:p>
        </w:tc>
      </w:tr>
      <w:tr w14:paraId="6B3046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110" w:type="dxa"/>
            <w:noWrap w:val="0"/>
            <w:vAlign w:val="center"/>
          </w:tcPr>
          <w:p w14:paraId="7775F5A9">
            <w:pPr>
              <w:pStyle w:val="8"/>
              <w:spacing w:line="240" w:lineRule="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补修课程</w:t>
            </w:r>
          </w:p>
        </w:tc>
        <w:tc>
          <w:tcPr>
            <w:tcW w:w="1134" w:type="dxa"/>
            <w:noWrap w:val="0"/>
            <w:vAlign w:val="center"/>
          </w:tcPr>
          <w:p w14:paraId="50EE6547">
            <w:pPr>
              <w:pStyle w:val="8"/>
              <w:spacing w:line="240" w:lineRule="auto"/>
              <w:rPr>
                <w:rFonts w:hint="default" w:ascii="Times New Roman" w:hAnsi="Times New Roman" w:cs="Times New Roman"/>
                <w:sz w:val="18"/>
                <w:szCs w:val="18"/>
              </w:rPr>
            </w:pPr>
          </w:p>
        </w:tc>
        <w:tc>
          <w:tcPr>
            <w:tcW w:w="3686" w:type="dxa"/>
            <w:noWrap w:val="0"/>
            <w:vAlign w:val="center"/>
          </w:tcPr>
          <w:p w14:paraId="486B8340">
            <w:pPr>
              <w:pStyle w:val="8"/>
              <w:spacing w:line="240" w:lineRule="auto"/>
              <w:rPr>
                <w:rFonts w:hint="default" w:ascii="Times New Roman" w:hAnsi="Times New Roman" w:eastAsia="宋体" w:cs="Times New Roman"/>
                <w:lang w:val="en-US" w:eastAsia="zh-CN"/>
              </w:rPr>
            </w:pPr>
          </w:p>
        </w:tc>
        <w:tc>
          <w:tcPr>
            <w:tcW w:w="708" w:type="dxa"/>
            <w:noWrap w:val="0"/>
            <w:vAlign w:val="center"/>
          </w:tcPr>
          <w:p w14:paraId="44B75191">
            <w:pPr>
              <w:pStyle w:val="8"/>
              <w:spacing w:line="240" w:lineRule="auto"/>
              <w:rPr>
                <w:rFonts w:hint="default" w:ascii="Times New Roman" w:hAnsi="Times New Roman" w:cs="Times New Roman"/>
              </w:rPr>
            </w:pPr>
          </w:p>
        </w:tc>
        <w:tc>
          <w:tcPr>
            <w:tcW w:w="709" w:type="dxa"/>
            <w:noWrap w:val="0"/>
            <w:vAlign w:val="center"/>
          </w:tcPr>
          <w:p w14:paraId="31F7EA14">
            <w:pPr>
              <w:pStyle w:val="8"/>
              <w:spacing w:line="240" w:lineRule="auto"/>
              <w:rPr>
                <w:rFonts w:hint="default" w:ascii="Times New Roman" w:hAnsi="Times New Roman" w:cs="Times New Roman"/>
              </w:rPr>
            </w:pPr>
          </w:p>
        </w:tc>
        <w:tc>
          <w:tcPr>
            <w:tcW w:w="851" w:type="dxa"/>
            <w:noWrap w:val="0"/>
            <w:vAlign w:val="center"/>
          </w:tcPr>
          <w:p w14:paraId="635A6AFE">
            <w:pPr>
              <w:pStyle w:val="8"/>
              <w:spacing w:line="240" w:lineRule="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不计</w:t>
            </w:r>
          </w:p>
          <w:p w14:paraId="3DB92574">
            <w:pPr>
              <w:pStyle w:val="8"/>
              <w:spacing w:line="240" w:lineRule="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学分</w:t>
            </w:r>
          </w:p>
        </w:tc>
      </w:tr>
    </w:tbl>
    <w:p w14:paraId="362E93CD">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注：1）学分抵扣，为满足社会多元化需求和学生个性化培养的要求，凡在科研成果、创新创业、社会工作获得突出成绩的，经研究生申请、学院认定后，可以冲抵一定选修课学分。具体内容参照相关文件规定。</w:t>
      </w:r>
    </w:p>
    <w:p w14:paraId="739C58A8">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u w:val="none"/>
          <w:lang w:val="en-US" w:eastAsia="zh-CN" w:bidi="ar"/>
        </w:rPr>
        <w:t>2）工科类实验室安全教育，在课程中需明确学时要求。</w:t>
      </w:r>
    </w:p>
    <w:p w14:paraId="0ADAD6BA">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highlight w:val="none"/>
          <w:u w:val="single"/>
          <w:lang w:val="en-US" w:eastAsia="zh-CN" w:bidi="ar"/>
        </w:rPr>
      </w:pPr>
      <w:r>
        <w:rPr>
          <w:rFonts w:hint="eastAsia" w:asciiTheme="minorEastAsia" w:hAnsiTheme="minorEastAsia" w:eastAsiaTheme="minorEastAsia" w:cstheme="minorEastAsia"/>
          <w:color w:val="000000"/>
          <w:kern w:val="0"/>
          <w:sz w:val="24"/>
          <w:szCs w:val="24"/>
          <w:highlight w:val="none"/>
          <w:u w:val="single"/>
          <w:lang w:val="en-US" w:eastAsia="zh-CN" w:bidi="ar"/>
        </w:rPr>
        <w:t>3）《科学道德与学术规范》课程的授课过程与授课方式，按照原来实施，全校该门课的考核由“能源电力学科思政教育平台”牵头学院实施。</w:t>
      </w:r>
    </w:p>
    <w:p w14:paraId="39062720">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sz w:val="24"/>
          <w:szCs w:val="24"/>
          <w:highlight w:val="none"/>
          <w:u w:val="single"/>
          <w:lang w:val="en-US" w:eastAsia="zh-CN"/>
        </w:rPr>
      </w:pPr>
      <w:r>
        <w:rPr>
          <w:rFonts w:hint="eastAsia" w:asciiTheme="minorEastAsia" w:hAnsiTheme="minorEastAsia" w:eastAsiaTheme="minorEastAsia" w:cstheme="minorEastAsia"/>
          <w:color w:val="000000"/>
          <w:kern w:val="0"/>
          <w:sz w:val="24"/>
          <w:szCs w:val="24"/>
          <w:highlight w:val="none"/>
          <w:u w:val="single"/>
          <w:lang w:val="en-US" w:eastAsia="zh-CN" w:bidi="ar"/>
        </w:rPr>
        <w:t>4）学硕各专业课程应全覆盖AI类课程。采用分类分层教学方式，信息与通信工程、控制科学与工程、计算机科学与技术三个一级学科为A类，其他理工科类为B类  非理工科类为C类，A、B、C三类AI类课程由“</w:t>
      </w:r>
      <w:r>
        <w:rPr>
          <w:rFonts w:hint="eastAsia" w:asciiTheme="minorEastAsia" w:hAnsiTheme="minorEastAsia" w:eastAsiaTheme="minorEastAsia" w:cstheme="minorEastAsia"/>
          <w:b w:val="0"/>
          <w:bCs/>
          <w:sz w:val="24"/>
          <w:szCs w:val="24"/>
          <w:highlight w:val="none"/>
          <w:u w:val="single"/>
          <w:lang w:val="en-US" w:eastAsia="zh-CN"/>
        </w:rPr>
        <w:t>AI赋能学科交叉教育平台”牵头学院负责管理和认定。</w:t>
      </w:r>
    </w:p>
    <w:p w14:paraId="79DD169C">
      <w:pPr>
        <w:spacing w:line="360" w:lineRule="auto"/>
        <w:ind w:firstLine="480" w:firstLineChars="200"/>
        <w:rPr>
          <w:rFonts w:hint="eastAsia" w:asciiTheme="minorEastAsia" w:hAnsiTheme="minorEastAsia" w:eastAsiaTheme="minorEastAsia" w:cstheme="minorEastAsia"/>
          <w:color w:val="000000"/>
          <w:kern w:val="0"/>
          <w:sz w:val="24"/>
          <w:szCs w:val="24"/>
          <w:highlight w:val="none"/>
          <w:u w:val="single"/>
          <w:lang w:val="en-US" w:eastAsia="zh-CN" w:bidi="ar"/>
        </w:rPr>
      </w:pPr>
      <w:r>
        <w:rPr>
          <w:rFonts w:hint="eastAsia" w:asciiTheme="minorEastAsia" w:hAnsiTheme="minorEastAsia" w:eastAsiaTheme="minorEastAsia" w:cstheme="minorEastAsia"/>
          <w:b w:val="0"/>
          <w:bCs/>
          <w:sz w:val="24"/>
          <w:szCs w:val="24"/>
          <w:highlight w:val="none"/>
          <w:u w:val="single"/>
          <w:lang w:val="en-US" w:eastAsia="zh-CN"/>
        </w:rPr>
        <w:t>5）“</w:t>
      </w:r>
      <w:r>
        <w:rPr>
          <w:rFonts w:hint="eastAsia" w:asciiTheme="minorEastAsia" w:hAnsiTheme="minorEastAsia" w:eastAsiaTheme="minorEastAsia" w:cstheme="minorEastAsia"/>
          <w:color w:val="000000"/>
          <w:kern w:val="0"/>
          <w:sz w:val="24"/>
          <w:szCs w:val="24"/>
          <w:highlight w:val="none"/>
          <w:u w:val="single"/>
          <w:lang w:val="en-US" w:eastAsia="zh-CN" w:bidi="ar"/>
        </w:rPr>
        <w:t>STEM教育实践创新</w:t>
      </w:r>
      <w:r>
        <w:rPr>
          <w:rFonts w:hint="eastAsia" w:asciiTheme="minorEastAsia" w:hAnsiTheme="minorEastAsia" w:eastAsiaTheme="minorEastAsia" w:cstheme="minorEastAsia"/>
          <w:b w:val="0"/>
          <w:bCs/>
          <w:sz w:val="24"/>
          <w:szCs w:val="24"/>
          <w:highlight w:val="none"/>
          <w:u w:val="single"/>
          <w:lang w:val="en-US" w:eastAsia="zh-CN"/>
        </w:rPr>
        <w:t>平台</w:t>
      </w:r>
      <w:r>
        <w:rPr>
          <w:rFonts w:hint="eastAsia" w:asciiTheme="minorEastAsia" w:hAnsiTheme="minorEastAsia" w:eastAsiaTheme="minorEastAsia" w:cstheme="minorEastAsia"/>
          <w:color w:val="000000"/>
          <w:kern w:val="0"/>
          <w:sz w:val="24"/>
          <w:szCs w:val="24"/>
          <w:highlight w:val="none"/>
          <w:u w:val="single"/>
          <w:lang w:val="en-US" w:eastAsia="zh-CN" w:bidi="ar"/>
        </w:rPr>
        <w:t>”牵头学院，对本学院的实践环节的内涵建设和实施过程进行相应设计，并制定相应考核办法。</w:t>
      </w:r>
    </w:p>
    <w:p w14:paraId="63A99B9A">
      <w:pPr>
        <w:autoSpaceDE w:val="0"/>
        <w:autoSpaceDN w:val="0"/>
        <w:adjustRightInd w:val="0"/>
        <w:spacing w:line="360" w:lineRule="auto"/>
        <w:jc w:val="left"/>
        <w:rPr>
          <w:rFonts w:hint="eastAsia" w:ascii="宋体" w:hAnsi="宋体" w:cs="黑体"/>
          <w:b/>
          <w:color w:val="000000"/>
          <w:kern w:val="0"/>
          <w:sz w:val="24"/>
        </w:rPr>
      </w:pPr>
      <w:r>
        <w:rPr>
          <w:rFonts w:hint="eastAsia" w:ascii="宋体" w:hAnsi="宋体" w:cs="黑体"/>
          <w:b/>
          <w:color w:val="000000"/>
          <w:kern w:val="0"/>
          <w:sz w:val="24"/>
          <w:lang w:val="en-US" w:eastAsia="zh-CN"/>
        </w:rPr>
        <w:t>（3）</w:t>
      </w:r>
      <w:r>
        <w:rPr>
          <w:rFonts w:hint="eastAsia" w:ascii="宋体" w:hAnsi="宋体" w:cs="黑体"/>
          <w:b/>
          <w:color w:val="000000"/>
          <w:kern w:val="0"/>
          <w:sz w:val="24"/>
        </w:rPr>
        <w:t>必选环节（2学分）</w:t>
      </w:r>
    </w:p>
    <w:p w14:paraId="4040BF13">
      <w:pPr>
        <w:autoSpaceDE w:val="0"/>
        <w:autoSpaceDN w:val="0"/>
        <w:adjustRightInd w:val="0"/>
        <w:spacing w:line="360" w:lineRule="auto"/>
        <w:ind w:firstLine="482" w:firstLineChars="200"/>
        <w:jc w:val="left"/>
        <w:rPr>
          <w:rFonts w:ascii="宋体" w:hAnsi="宋体" w:cs="仿宋_GB2312"/>
          <w:b/>
          <w:color w:val="000000"/>
          <w:kern w:val="0"/>
          <w:sz w:val="24"/>
        </w:rPr>
      </w:pPr>
      <w:r>
        <w:rPr>
          <w:rFonts w:hint="eastAsia" w:ascii="宋体" w:hAnsi="宋体" w:cs="仿宋_GB2312"/>
          <w:b/>
          <w:color w:val="000000"/>
          <w:kern w:val="0"/>
          <w:sz w:val="24"/>
          <w:lang w:val="en-US" w:eastAsia="zh-CN"/>
        </w:rPr>
        <w:t>1）</w:t>
      </w:r>
      <w:r>
        <w:rPr>
          <w:rFonts w:ascii="宋体" w:hAnsi="宋体" w:cs="仿宋_GB2312"/>
          <w:b/>
          <w:color w:val="000000"/>
          <w:kern w:val="0"/>
          <w:sz w:val="24"/>
        </w:rPr>
        <w:t>实践环节（</w:t>
      </w:r>
      <w:r>
        <w:rPr>
          <w:rFonts w:hint="eastAsia" w:ascii="宋体" w:hAnsi="宋体" w:cs="仿宋_GB2312"/>
          <w:b/>
          <w:color w:val="000000"/>
          <w:kern w:val="0"/>
          <w:sz w:val="24"/>
        </w:rPr>
        <w:t>1</w:t>
      </w:r>
      <w:r>
        <w:rPr>
          <w:rFonts w:ascii="宋体" w:hAnsi="宋体" w:cs="仿宋_GB2312"/>
          <w:b/>
          <w:color w:val="000000"/>
          <w:kern w:val="0"/>
          <w:sz w:val="24"/>
        </w:rPr>
        <w:t>学分）</w:t>
      </w:r>
    </w:p>
    <w:p w14:paraId="53DCFD0F">
      <w:pPr>
        <w:autoSpaceDE w:val="0"/>
        <w:autoSpaceDN w:val="0"/>
        <w:adjustRightInd w:val="0"/>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由学院进行指导</w:t>
      </w:r>
      <w:r>
        <w:rPr>
          <w:rFonts w:ascii="宋体" w:hAnsi="宋体" w:cs="仿宋_GB2312"/>
          <w:color w:val="000000"/>
          <w:kern w:val="0"/>
          <w:sz w:val="24"/>
        </w:rPr>
        <w:t>并负责考核</w:t>
      </w:r>
      <w:r>
        <w:rPr>
          <w:rFonts w:hint="eastAsia" w:ascii="宋体" w:hAnsi="宋体" w:cs="仿宋_GB2312"/>
          <w:color w:val="000000"/>
          <w:kern w:val="0"/>
          <w:sz w:val="24"/>
        </w:rPr>
        <w:t>。实践可以以实践教学、科研实践、在校外行（企）业等单位实习实践、开展项目研究等形式进行，对</w:t>
      </w:r>
      <w:r>
        <w:rPr>
          <w:rFonts w:ascii="宋体" w:hAnsi="宋体" w:cs="仿宋_GB2312"/>
          <w:color w:val="000000"/>
          <w:kern w:val="0"/>
          <w:sz w:val="24"/>
        </w:rPr>
        <w:t>相关技能训练、科学研究及创新能力</w:t>
      </w:r>
      <w:r>
        <w:rPr>
          <w:rFonts w:hint="eastAsia" w:ascii="宋体" w:hAnsi="宋体" w:cs="仿宋_GB2312"/>
          <w:color w:val="000000"/>
          <w:kern w:val="0"/>
          <w:sz w:val="24"/>
        </w:rPr>
        <w:t>进行</w:t>
      </w:r>
      <w:r>
        <w:rPr>
          <w:rFonts w:ascii="宋体" w:hAnsi="宋体" w:cs="仿宋_GB2312"/>
          <w:color w:val="000000"/>
          <w:kern w:val="0"/>
          <w:sz w:val="24"/>
        </w:rPr>
        <w:t>培养。</w:t>
      </w:r>
      <w:r>
        <w:rPr>
          <w:rFonts w:hint="eastAsia" w:ascii="宋体" w:hAnsi="宋体" w:cs="仿宋_GB2312"/>
          <w:color w:val="000000"/>
          <w:kern w:val="0"/>
          <w:sz w:val="24"/>
        </w:rPr>
        <w:t>各学院应制定明确的任务要求和考核指标。研究生撰写“教学（生产）实践总结报告”。</w:t>
      </w:r>
    </w:p>
    <w:p w14:paraId="66E3A532">
      <w:pPr>
        <w:numPr>
          <w:ilvl w:val="0"/>
          <w:numId w:val="1"/>
        </w:numPr>
        <w:autoSpaceDE w:val="0"/>
        <w:autoSpaceDN w:val="0"/>
        <w:adjustRightInd w:val="0"/>
        <w:spacing w:line="360" w:lineRule="auto"/>
        <w:ind w:firstLine="482" w:firstLineChars="200"/>
        <w:jc w:val="left"/>
        <w:rPr>
          <w:rFonts w:ascii="宋体" w:hAnsi="宋体" w:cs="仿宋_GB2312"/>
          <w:b/>
          <w:color w:val="000000"/>
          <w:kern w:val="0"/>
          <w:sz w:val="24"/>
        </w:rPr>
      </w:pPr>
      <w:r>
        <w:rPr>
          <w:rFonts w:hint="eastAsia" w:ascii="宋体" w:hAnsi="宋体" w:cs="仿宋_GB2312"/>
          <w:b/>
          <w:color w:val="000000"/>
          <w:kern w:val="0"/>
          <w:sz w:val="24"/>
        </w:rPr>
        <w:t>学术与综合素养教育讲座</w:t>
      </w:r>
      <w:r>
        <w:rPr>
          <w:rFonts w:ascii="宋体" w:hAnsi="宋体" w:cs="仿宋_GB2312"/>
          <w:b/>
          <w:color w:val="000000"/>
          <w:kern w:val="0"/>
          <w:sz w:val="24"/>
        </w:rPr>
        <w:t>（</w:t>
      </w:r>
      <w:r>
        <w:rPr>
          <w:rFonts w:hint="eastAsia" w:ascii="宋体" w:hAnsi="宋体" w:cs="仿宋_GB2312"/>
          <w:b/>
          <w:color w:val="000000"/>
          <w:kern w:val="0"/>
          <w:sz w:val="24"/>
        </w:rPr>
        <w:t>1</w:t>
      </w:r>
      <w:r>
        <w:rPr>
          <w:rFonts w:ascii="宋体" w:hAnsi="宋体" w:cs="仿宋_GB2312"/>
          <w:b/>
          <w:color w:val="000000"/>
          <w:kern w:val="0"/>
          <w:sz w:val="24"/>
        </w:rPr>
        <w:t>学分）</w:t>
      </w:r>
    </w:p>
    <w:p w14:paraId="58AEB1A1">
      <w:pPr>
        <w:numPr>
          <w:ilvl w:val="0"/>
          <w:numId w:val="0"/>
        </w:numPr>
        <w:autoSpaceDE w:val="0"/>
        <w:autoSpaceDN w:val="0"/>
        <w:adjustRightInd w:val="0"/>
        <w:spacing w:line="360" w:lineRule="auto"/>
        <w:ind w:firstLine="480" w:firstLineChars="200"/>
        <w:jc w:val="left"/>
        <w:rPr>
          <w:rFonts w:hint="eastAsia" w:ascii="宋体" w:hAnsi="宋体" w:cs="仿宋_GB2312"/>
          <w:color w:val="000000"/>
          <w:kern w:val="0"/>
          <w:sz w:val="24"/>
        </w:rPr>
      </w:pPr>
      <w:r>
        <w:rPr>
          <w:rFonts w:ascii="宋体" w:hAnsi="宋体" w:cs="仿宋_GB2312"/>
          <w:color w:val="000000"/>
          <w:kern w:val="0"/>
          <w:sz w:val="24"/>
        </w:rPr>
        <w:t>在校期间参加不少于8次学术</w:t>
      </w:r>
      <w:r>
        <w:rPr>
          <w:rFonts w:hint="eastAsia" w:ascii="宋体" w:hAnsi="宋体" w:cs="仿宋_GB2312"/>
          <w:color w:val="000000"/>
          <w:kern w:val="0"/>
          <w:sz w:val="24"/>
        </w:rPr>
        <w:t>报告（其中包含至少2次科学道德与学风建设宣讲报告），并撰写2篇不少于1000字的</w:t>
      </w:r>
      <w:r>
        <w:rPr>
          <w:rFonts w:ascii="宋体" w:hAnsi="宋体" w:cs="仿宋_GB2312"/>
          <w:color w:val="000000"/>
          <w:kern w:val="0"/>
          <w:sz w:val="24"/>
        </w:rPr>
        <w:t>总结报告。</w:t>
      </w:r>
    </w:p>
    <w:p w14:paraId="0FA695A0">
      <w:pPr>
        <w:spacing w:line="276" w:lineRule="auto"/>
        <w:jc w:val="left"/>
        <w:rPr>
          <w:rFonts w:ascii="宋体" w:hAnsi="宋体"/>
          <w:b/>
          <w:sz w:val="24"/>
        </w:rPr>
      </w:pPr>
      <w:r>
        <w:rPr>
          <w:rFonts w:hint="eastAsia" w:ascii="宋体" w:hAnsi="宋体"/>
          <w:b/>
          <w:sz w:val="24"/>
          <w:lang w:val="en-US" w:eastAsia="zh-CN"/>
        </w:rPr>
        <w:t>6</w:t>
      </w:r>
      <w:r>
        <w:rPr>
          <w:rFonts w:hint="eastAsia" w:ascii="宋体" w:hAnsi="宋体"/>
          <w:b/>
          <w:sz w:val="24"/>
          <w:lang w:eastAsia="zh-CN"/>
        </w:rPr>
        <w:t>.</w:t>
      </w:r>
      <w:r>
        <w:rPr>
          <w:rFonts w:hint="eastAsia" w:ascii="宋体" w:hAnsi="宋体"/>
          <w:b/>
          <w:sz w:val="24"/>
        </w:rPr>
        <w:t>学位论文</w:t>
      </w:r>
    </w:p>
    <w:p w14:paraId="64A455CF">
      <w:pPr>
        <w:autoSpaceDE w:val="0"/>
        <w:autoSpaceDN w:val="0"/>
        <w:adjustRightInd w:val="0"/>
        <w:spacing w:line="360" w:lineRule="auto"/>
        <w:ind w:firstLine="480" w:firstLineChars="200"/>
        <w:jc w:val="left"/>
        <w:rPr>
          <w:rFonts w:ascii="宋体" w:hAnsi="宋体" w:cs="仿宋_GB2312"/>
          <w:color w:val="000000"/>
          <w:kern w:val="0"/>
          <w:sz w:val="24"/>
        </w:rPr>
      </w:pPr>
      <w:r>
        <w:rPr>
          <w:rFonts w:ascii="宋体" w:hAnsi="宋体" w:cs="仿宋_GB2312"/>
          <w:color w:val="000000"/>
          <w:kern w:val="0"/>
          <w:sz w:val="24"/>
        </w:rPr>
        <w:t>所有研究生必须在导师指导下完成一篇达到</w:t>
      </w:r>
      <w:r>
        <w:rPr>
          <w:rFonts w:hint="eastAsia" w:ascii="宋体" w:hAnsi="宋体" w:cs="仿宋_GB2312"/>
          <w:color w:val="000000"/>
          <w:kern w:val="0"/>
          <w:sz w:val="24"/>
        </w:rPr>
        <w:t>学位</w:t>
      </w:r>
      <w:r>
        <w:rPr>
          <w:rFonts w:ascii="宋体" w:hAnsi="宋体" w:cs="仿宋_GB2312"/>
          <w:color w:val="000000"/>
          <w:kern w:val="0"/>
          <w:sz w:val="24"/>
        </w:rPr>
        <w:t>要求的学位论文。硕士学位论文要反映硕士研究生在本学科领域研究中达到的学术水平，表明本人较好地掌握了本学科的基础理论、专门知识和基本技能，具有从事本学科或相关学科科学研究或独立担负专门技术工作的能力。</w:t>
      </w:r>
    </w:p>
    <w:p w14:paraId="228524D5">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lang w:eastAsia="zh-CN"/>
        </w:rPr>
        <w:t>（</w:t>
      </w:r>
      <w:r>
        <w:rPr>
          <w:rFonts w:ascii="宋体" w:hAnsi="宋体" w:cs="仿宋_GB2312"/>
          <w:color w:val="000000"/>
          <w:kern w:val="0"/>
          <w:sz w:val="24"/>
        </w:rPr>
        <w:t>1</w:t>
      </w:r>
      <w:r>
        <w:rPr>
          <w:rFonts w:hint="eastAsia" w:ascii="宋体" w:hAnsi="宋体" w:cs="仿宋_GB2312"/>
          <w:color w:val="000000"/>
          <w:kern w:val="0"/>
          <w:sz w:val="24"/>
          <w:lang w:eastAsia="zh-CN"/>
        </w:rPr>
        <w:t>）</w:t>
      </w:r>
      <w:r>
        <w:rPr>
          <w:rFonts w:ascii="宋体" w:hAnsi="宋体" w:cs="仿宋_GB2312"/>
          <w:color w:val="000000"/>
          <w:kern w:val="0"/>
          <w:sz w:val="24"/>
        </w:rPr>
        <w:t xml:space="preserve"> 学位论文包含开题报告、中期检查、论文评审与答辩等环节，各环节的时间节点和具体要求，按学校相关规定和各专业具体要求执行</w:t>
      </w:r>
      <w:r>
        <w:rPr>
          <w:rFonts w:hint="eastAsia" w:ascii="宋体" w:hAnsi="宋体" w:cs="仿宋_GB2312"/>
          <w:color w:val="000000"/>
          <w:kern w:val="0"/>
          <w:sz w:val="24"/>
        </w:rPr>
        <w:t>。</w:t>
      </w:r>
    </w:p>
    <w:p w14:paraId="0F11AD12">
      <w:pPr>
        <w:autoSpaceDE w:val="0"/>
        <w:autoSpaceDN w:val="0"/>
        <w:adjustRightInd w:val="0"/>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lang w:eastAsia="zh-CN"/>
        </w:rPr>
        <w:t>（</w:t>
      </w:r>
      <w:r>
        <w:rPr>
          <w:rFonts w:hint="eastAsia" w:ascii="宋体" w:hAnsi="宋体" w:cs="仿宋_GB2312"/>
          <w:color w:val="000000"/>
          <w:kern w:val="0"/>
          <w:sz w:val="24"/>
        </w:rPr>
        <w:t>2</w:t>
      </w:r>
      <w:r>
        <w:rPr>
          <w:rFonts w:hint="eastAsia" w:ascii="宋体" w:hAnsi="宋体" w:cs="仿宋_GB2312"/>
          <w:color w:val="000000"/>
          <w:kern w:val="0"/>
          <w:sz w:val="24"/>
          <w:lang w:eastAsia="zh-CN"/>
        </w:rPr>
        <w:t>）</w:t>
      </w:r>
      <w:r>
        <w:rPr>
          <w:rFonts w:hint="eastAsia" w:ascii="宋体" w:hAnsi="宋体" w:cs="仿宋_GB2312"/>
          <w:color w:val="000000"/>
          <w:kern w:val="0"/>
          <w:sz w:val="24"/>
        </w:rPr>
        <w:t>学位论文答辩前，还应达到规定的学术成果要求。具体按照《上海电力大学研究生学位论文答辩及学位申请的规定》执行，相关学科若有不同答辩条件，可按照具体学科相关要求执行，原则上各学科答辩条件不应低于本规定要求。</w:t>
      </w:r>
    </w:p>
    <w:p w14:paraId="6337790F">
      <w:pPr>
        <w:autoSpaceDE w:val="0"/>
        <w:autoSpaceDN w:val="0"/>
        <w:adjustRightInd w:val="0"/>
        <w:spacing w:line="360" w:lineRule="auto"/>
        <w:ind w:firstLine="480" w:firstLineChars="200"/>
        <w:jc w:val="left"/>
        <w:rPr>
          <w:rFonts w:hint="eastAsia" w:ascii="宋体" w:hAnsi="宋体" w:cs="仿宋_GB2312"/>
          <w:color w:val="000000"/>
          <w:kern w:val="0"/>
          <w:sz w:val="24"/>
          <w:u w:val="none"/>
          <w:lang w:eastAsia="zh-CN"/>
        </w:rPr>
      </w:pPr>
      <w:r>
        <w:rPr>
          <w:rFonts w:hint="eastAsia"/>
          <w:sz w:val="24"/>
          <w:szCs w:val="24"/>
          <w:highlight w:val="none"/>
          <w:u w:val="none"/>
          <w:lang w:val="en-US" w:eastAsia="zh-CN"/>
        </w:rPr>
        <w:t>培养方案中须明确对学位论文的要求以及毕业成果要求。</w:t>
      </w:r>
    </w:p>
    <w:p w14:paraId="56A88ADC">
      <w:pPr>
        <w:spacing w:line="276" w:lineRule="auto"/>
        <w:jc w:val="left"/>
        <w:rPr>
          <w:rFonts w:ascii="宋体" w:hAnsi="宋体"/>
          <w:b/>
          <w:sz w:val="24"/>
        </w:rPr>
      </w:pPr>
      <w:r>
        <w:rPr>
          <w:rFonts w:hint="eastAsia" w:ascii="宋体" w:hAnsi="宋体"/>
          <w:b/>
          <w:sz w:val="24"/>
          <w:lang w:val="en-US" w:eastAsia="zh-CN"/>
        </w:rPr>
        <w:t>7</w:t>
      </w:r>
      <w:r>
        <w:rPr>
          <w:rFonts w:hint="eastAsia" w:ascii="宋体" w:hAnsi="宋体"/>
          <w:b/>
          <w:sz w:val="24"/>
          <w:lang w:eastAsia="zh-CN"/>
        </w:rPr>
        <w:t>.</w:t>
      </w:r>
      <w:r>
        <w:rPr>
          <w:rFonts w:hint="eastAsia" w:ascii="宋体" w:hAnsi="宋体"/>
          <w:b/>
          <w:sz w:val="24"/>
        </w:rPr>
        <w:t>其他</w:t>
      </w:r>
    </w:p>
    <w:p w14:paraId="331030E8">
      <w:pPr>
        <w:autoSpaceDE w:val="0"/>
        <w:autoSpaceDN w:val="0"/>
        <w:adjustRightInd w:val="0"/>
        <w:spacing w:line="360" w:lineRule="auto"/>
        <w:ind w:firstLine="482" w:firstLineChars="200"/>
        <w:jc w:val="left"/>
        <w:rPr>
          <w:rFonts w:ascii="宋体" w:hAnsi="宋体" w:cs="仿宋_GB2312"/>
          <w:b/>
          <w:bCs/>
          <w:color w:val="000000"/>
          <w:kern w:val="0"/>
          <w:sz w:val="24"/>
        </w:rPr>
      </w:pPr>
      <w:r>
        <w:rPr>
          <w:rFonts w:hint="eastAsia" w:ascii="宋体" w:hAnsi="宋体" w:cs="仿宋_GB2312"/>
          <w:b/>
          <w:bCs/>
          <w:color w:val="000000"/>
          <w:kern w:val="0"/>
          <w:sz w:val="24"/>
          <w:lang w:eastAsia="zh-CN"/>
        </w:rPr>
        <w:t>（</w:t>
      </w:r>
      <w:r>
        <w:rPr>
          <w:rFonts w:ascii="宋体" w:hAnsi="宋体" w:cs="仿宋_GB2312"/>
          <w:b/>
          <w:bCs/>
          <w:color w:val="000000"/>
          <w:kern w:val="0"/>
          <w:sz w:val="24"/>
        </w:rPr>
        <w:t>1</w:t>
      </w:r>
      <w:r>
        <w:rPr>
          <w:rFonts w:hint="eastAsia" w:ascii="宋体" w:hAnsi="宋体" w:cs="仿宋_GB2312"/>
          <w:b/>
          <w:bCs/>
          <w:color w:val="000000"/>
          <w:kern w:val="0"/>
          <w:sz w:val="24"/>
          <w:lang w:eastAsia="zh-CN"/>
        </w:rPr>
        <w:t>）</w:t>
      </w:r>
      <w:r>
        <w:rPr>
          <w:rFonts w:ascii="宋体" w:hAnsi="宋体" w:cs="仿宋_GB2312"/>
          <w:b/>
          <w:bCs/>
          <w:color w:val="000000"/>
          <w:kern w:val="0"/>
          <w:sz w:val="24"/>
        </w:rPr>
        <w:t xml:space="preserve"> 培养计划的制定</w:t>
      </w:r>
    </w:p>
    <w:p w14:paraId="6A4367C8">
      <w:pPr>
        <w:autoSpaceDE w:val="0"/>
        <w:autoSpaceDN w:val="0"/>
        <w:adjustRightInd w:val="0"/>
        <w:spacing w:line="360" w:lineRule="auto"/>
        <w:ind w:firstLine="480" w:firstLineChars="200"/>
        <w:jc w:val="left"/>
        <w:rPr>
          <w:rFonts w:ascii="宋体" w:hAnsi="宋体" w:cs="仿宋_GB2312"/>
          <w:color w:val="000000"/>
          <w:kern w:val="0"/>
          <w:sz w:val="24"/>
        </w:rPr>
      </w:pPr>
      <w:r>
        <w:rPr>
          <w:rFonts w:ascii="宋体" w:hAnsi="宋体" w:cs="仿宋_GB2312"/>
          <w:color w:val="000000"/>
          <w:kern w:val="0"/>
          <w:sz w:val="24"/>
        </w:rPr>
        <w:t>研究生应在入学后一个月内，在导师指导下根据本学科培养方案的要求和研究生本人的具体情况确定培养计划，并经指导教师审核同意和专业委员会负责人签字确认，要求一式四份，其中一份由研究生本人保管，一份导师保存，一份存二级学院存档，一份交研究生院备案。</w:t>
      </w:r>
    </w:p>
    <w:p w14:paraId="70E92EDA">
      <w:pPr>
        <w:autoSpaceDE w:val="0"/>
        <w:autoSpaceDN w:val="0"/>
        <w:adjustRightInd w:val="0"/>
        <w:spacing w:line="360" w:lineRule="auto"/>
        <w:ind w:firstLine="482" w:firstLineChars="200"/>
        <w:jc w:val="left"/>
        <w:rPr>
          <w:rFonts w:ascii="宋体" w:hAnsi="宋体" w:cs="仿宋_GB2312"/>
          <w:b/>
          <w:bCs/>
          <w:color w:val="000000"/>
          <w:kern w:val="0"/>
          <w:sz w:val="24"/>
        </w:rPr>
      </w:pPr>
      <w:r>
        <w:rPr>
          <w:rFonts w:hint="eastAsia" w:ascii="宋体" w:hAnsi="宋体" w:cs="仿宋_GB2312"/>
          <w:b/>
          <w:bCs/>
          <w:color w:val="000000"/>
          <w:kern w:val="0"/>
          <w:sz w:val="24"/>
          <w:lang w:eastAsia="zh-CN"/>
        </w:rPr>
        <w:t>（</w:t>
      </w:r>
      <w:r>
        <w:rPr>
          <w:rFonts w:ascii="宋体" w:hAnsi="宋体" w:cs="仿宋_GB2312"/>
          <w:b/>
          <w:bCs/>
          <w:color w:val="000000"/>
          <w:kern w:val="0"/>
          <w:sz w:val="24"/>
        </w:rPr>
        <w:t>2</w:t>
      </w:r>
      <w:r>
        <w:rPr>
          <w:rFonts w:hint="eastAsia" w:ascii="宋体" w:hAnsi="宋体" w:cs="仿宋_GB2312"/>
          <w:b/>
          <w:bCs/>
          <w:color w:val="000000"/>
          <w:kern w:val="0"/>
          <w:sz w:val="24"/>
          <w:lang w:eastAsia="zh-CN"/>
        </w:rPr>
        <w:t>）</w:t>
      </w:r>
      <w:r>
        <w:rPr>
          <w:rFonts w:ascii="宋体" w:hAnsi="宋体" w:cs="仿宋_GB2312"/>
          <w:b/>
          <w:bCs/>
          <w:color w:val="000000"/>
          <w:kern w:val="0"/>
          <w:sz w:val="24"/>
        </w:rPr>
        <w:t>毕业和授予学位标准</w:t>
      </w:r>
    </w:p>
    <w:p w14:paraId="5C4C257D">
      <w:pPr>
        <w:autoSpaceDE w:val="0"/>
        <w:autoSpaceDN w:val="0"/>
        <w:adjustRightInd w:val="0"/>
        <w:spacing w:line="360" w:lineRule="auto"/>
        <w:ind w:firstLine="480" w:firstLineChars="200"/>
        <w:jc w:val="left"/>
        <w:rPr>
          <w:rFonts w:eastAsia="等线"/>
          <w:spacing w:val="-2"/>
          <w:szCs w:val="21"/>
        </w:rPr>
      </w:pPr>
      <w:r>
        <w:rPr>
          <w:rFonts w:ascii="宋体" w:hAnsi="宋体" w:cs="仿宋_GB2312"/>
          <w:color w:val="000000"/>
          <w:kern w:val="0"/>
          <w:sz w:val="24"/>
        </w:rPr>
        <w:t>修满规定学分，满足研究生</w:t>
      </w:r>
      <w:r>
        <w:rPr>
          <w:rFonts w:hint="eastAsia" w:ascii="宋体" w:hAnsi="宋体" w:cs="仿宋_GB2312"/>
          <w:color w:val="000000"/>
          <w:kern w:val="0"/>
          <w:sz w:val="24"/>
          <w:lang w:val="en-US" w:eastAsia="zh-CN"/>
        </w:rPr>
        <w:t>科研</w:t>
      </w:r>
      <w:r>
        <w:rPr>
          <w:rFonts w:ascii="宋体" w:hAnsi="宋体" w:cs="仿宋_GB2312"/>
          <w:color w:val="000000"/>
          <w:kern w:val="0"/>
          <w:sz w:val="24"/>
        </w:rPr>
        <w:t>学术成果要求，并通过学位论文答辩者，经校学位评定委员会审核批准后，授予其相应学位。毕业和授予学位标准按学校有关规定执行。</w:t>
      </w:r>
    </w:p>
    <w:p w14:paraId="4EFBDCFA">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二、</w:t>
      </w:r>
      <w:r>
        <w:rPr>
          <w:rFonts w:hint="eastAsia" w:ascii="黑体" w:hAnsi="黑体" w:eastAsia="黑体"/>
          <w:sz w:val="28"/>
          <w:szCs w:val="28"/>
        </w:rPr>
        <w:t>专业学位研究生培养方案</w:t>
      </w:r>
      <w:r>
        <w:rPr>
          <w:rFonts w:hint="eastAsia" w:ascii="黑体" w:hAnsi="黑体" w:eastAsia="黑体"/>
          <w:sz w:val="28"/>
          <w:szCs w:val="28"/>
          <w:lang w:val="en-US" w:eastAsia="zh-CN"/>
        </w:rPr>
        <w:t>要求</w:t>
      </w:r>
    </w:p>
    <w:p w14:paraId="2187247B">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（一）专业学位博士研究生</w:t>
      </w:r>
    </w:p>
    <w:p w14:paraId="77DDC929">
      <w:pPr>
        <w:keepNext w:val="0"/>
        <w:keepLines w:val="0"/>
        <w:widowControl/>
        <w:suppressLineNumbers w:val="0"/>
        <w:spacing w:line="360" w:lineRule="auto"/>
        <w:ind w:left="0" w:leftChars="0" w:firstLine="480" w:firstLineChars="200"/>
        <w:jc w:val="left"/>
        <w:rPr>
          <w:rFonts w:hint="default"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single"/>
          <w:lang w:val="en-US" w:eastAsia="zh-CN" w:bidi="ar"/>
        </w:rPr>
        <w:t>对首次制定能源动力类专业学位博士生培养方案，在满足全国教执委培养方案要求前提下，学分适当压缩，鼓励设置探究性、研讨类课程。各专业领域可根据自身特点制定培养方案，并提交牵头学院审定，由牵头单位统一提交。</w:t>
      </w:r>
      <w:r>
        <w:rPr>
          <w:rFonts w:hint="eastAsia" w:ascii="宋体" w:hAnsi="宋体" w:cs="宋体"/>
          <w:color w:val="000000"/>
          <w:kern w:val="0"/>
          <w:sz w:val="24"/>
          <w:szCs w:val="24"/>
          <w:highlight w:val="none"/>
          <w:u w:val="none"/>
          <w:lang w:val="en-US" w:eastAsia="zh-CN" w:bidi="ar"/>
        </w:rPr>
        <w:t>重点要求如下</w:t>
      </w:r>
      <w:r>
        <w:rPr>
          <w:rFonts w:hint="eastAsia" w:ascii="宋体" w:hAnsi="宋体" w:eastAsia="宋体" w:cs="宋体"/>
          <w:color w:val="000000"/>
          <w:kern w:val="0"/>
          <w:sz w:val="24"/>
          <w:szCs w:val="24"/>
          <w:highlight w:val="none"/>
          <w:u w:val="none"/>
          <w:lang w:val="en-US" w:eastAsia="zh-CN" w:bidi="ar"/>
        </w:rPr>
        <w:t>：</w:t>
      </w:r>
    </w:p>
    <w:p w14:paraId="233E26BB">
      <w:pPr>
        <w:keepNext w:val="0"/>
        <w:keepLines w:val="0"/>
        <w:widowControl/>
        <w:suppressLineNumbers w:val="0"/>
        <w:spacing w:line="360" w:lineRule="auto"/>
        <w:ind w:left="0" w:leftChars="0" w:firstLine="0" w:firstLine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w:t>
      </w:r>
      <w:r>
        <w:rPr>
          <w:rFonts w:hint="eastAsia" w:ascii="宋体" w:hAnsi="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培养目标 </w:t>
      </w:r>
    </w:p>
    <w:p w14:paraId="4F3E5941">
      <w:pPr>
        <w:keepNext w:val="0"/>
        <w:keepLines w:val="0"/>
        <w:widowControl/>
        <w:suppressLineNumbers w:val="0"/>
        <w:spacing w:line="360" w:lineRule="auto"/>
        <w:ind w:left="0" w:leftChars="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紧密结合我国经济社会和科技发展需求，面向企业（行业）工程实际，坚持以立德树人为根本，培育和践行社会主义核心价值观，培养在相关工程领域掌握坚实宽广的理论基础和系统深入的专门知识，具备解决复杂工程技术问题、进行工程技术创新、组织工程技术研究开发工作等能力，具有高度社会责任感的高层次工程技术人才，为培养造就工程技术领军人才奠定基础。</w:t>
      </w:r>
    </w:p>
    <w:p w14:paraId="0923A31F">
      <w:pPr>
        <w:keepNext w:val="0"/>
        <w:keepLines w:val="0"/>
        <w:widowControl/>
        <w:suppressLineNumbers w:val="0"/>
        <w:spacing w:line="360" w:lineRule="auto"/>
        <w:ind w:left="0" w:leftChars="0" w:firstLine="0" w:firstLineChars="0"/>
        <w:jc w:val="left"/>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培养方式</w:t>
      </w:r>
    </w:p>
    <w:p w14:paraId="0ECF4E38">
      <w:pPr>
        <w:keepNext w:val="0"/>
        <w:keepLines w:val="0"/>
        <w:widowControl/>
        <w:suppressLineNumbers w:val="0"/>
        <w:spacing w:line="360" w:lineRule="auto"/>
        <w:ind w:left="0" w:leftChars="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工程类博士专业学位研究生采取校企合作的方式进行培养。 </w:t>
      </w:r>
    </w:p>
    <w:p w14:paraId="2A9ECDA8">
      <w:pPr>
        <w:keepNext w:val="0"/>
        <w:keepLines w:val="0"/>
        <w:widowControl/>
        <w:suppressLineNumbers w:val="0"/>
        <w:spacing w:line="360" w:lineRule="auto"/>
        <w:ind w:left="0" w:leftChars="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工程类博士专业学位研究生的学位论文工作应紧密结合相关工程领域的重大、重点工程项目，紧密结合企业的工程实际，培养工程类博士专业学位研究生进行工程技术创新的能力。 </w:t>
      </w:r>
    </w:p>
    <w:p w14:paraId="0E65AEE3">
      <w:pPr>
        <w:keepNext w:val="0"/>
        <w:keepLines w:val="0"/>
        <w:widowControl/>
        <w:suppressLineNumbers w:val="0"/>
        <w:spacing w:line="360" w:lineRule="auto"/>
        <w:ind w:left="0" w:leftChars="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工程类博士专业学位研究生的培养应采取校企导师组的方式进行，聘请企业（行业）具有丰富工程实践经验的专家作为导师组成员。</w:t>
      </w:r>
    </w:p>
    <w:p w14:paraId="59DC4D28">
      <w:pPr>
        <w:keepNext w:val="0"/>
        <w:keepLines w:val="0"/>
        <w:widowControl/>
        <w:suppressLineNumbers w:val="0"/>
        <w:spacing w:line="360" w:lineRule="auto"/>
        <w:ind w:left="0" w:leftChars="0" w:firstLine="0" w:firstLineChars="0"/>
        <w:jc w:val="left"/>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工程类博士专业学位获得者应具备的知识、能力和素质 </w:t>
      </w:r>
    </w:p>
    <w:p w14:paraId="1D0D9248">
      <w:pPr>
        <w:keepNext w:val="0"/>
        <w:keepLines w:val="0"/>
        <w:widowControl/>
        <w:suppressLineNumbers w:val="0"/>
        <w:spacing w:line="360" w:lineRule="auto"/>
        <w:ind w:left="0" w:leftChars="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基本素质要求 </w:t>
      </w:r>
    </w:p>
    <w:p w14:paraId="64339247">
      <w:pPr>
        <w:keepNext w:val="0"/>
        <w:keepLines w:val="0"/>
        <w:widowControl/>
        <w:suppressLineNumbers w:val="0"/>
        <w:spacing w:line="360" w:lineRule="auto"/>
        <w:ind w:left="0" w:leftChars="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工程类博士专业学位获得者应拥护中国共产党的领导，热爱祖国，具有高度的社会责任感；服务科技进步和社会发展；恪守学术道德规范和工程伦理规范。 </w:t>
      </w:r>
    </w:p>
    <w:p w14:paraId="15A4AC6F">
      <w:pPr>
        <w:keepNext w:val="0"/>
        <w:keepLines w:val="0"/>
        <w:widowControl/>
        <w:suppressLineNumbers w:val="0"/>
        <w:spacing w:line="360" w:lineRule="auto"/>
        <w:ind w:left="0" w:leftChars="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基本知识要求 </w:t>
      </w:r>
    </w:p>
    <w:p w14:paraId="6FEA9FFC">
      <w:pPr>
        <w:keepNext w:val="0"/>
        <w:keepLines w:val="0"/>
        <w:widowControl/>
        <w:suppressLineNumbers w:val="0"/>
        <w:spacing w:line="360" w:lineRule="auto"/>
        <w:ind w:left="0" w:leftChars="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工程类博士专业学位获得者应掌握本工程领域坚实宽广的基础理论、系统深入的专门知识和工程技术基础知识；熟悉相关工程领域的发展趋势与前沿，掌握相关的人文社科及工程管理知识；熟练掌握一门外国语。 </w:t>
      </w:r>
    </w:p>
    <w:p w14:paraId="1728983F">
      <w:pPr>
        <w:keepNext w:val="0"/>
        <w:keepLines w:val="0"/>
        <w:widowControl/>
        <w:suppressLineNumbers w:val="0"/>
        <w:spacing w:line="360" w:lineRule="auto"/>
        <w:ind w:left="0" w:leftChars="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3</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基本能力要求 </w:t>
      </w:r>
    </w:p>
    <w:p w14:paraId="536CAEF2">
      <w:pPr>
        <w:keepNext w:val="0"/>
        <w:keepLines w:val="0"/>
        <w:widowControl/>
        <w:suppressLineNumbers w:val="0"/>
        <w:spacing w:line="360" w:lineRule="auto"/>
        <w:ind w:left="0" w:leftChars="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工程类博士专业学位获得者应具备解决复杂工程技术问题、进行工程技术创新、组织工程技术研究开发工作的能力及良好的沟通协调能力，具备国际视野和跨文化交流能力。 </w:t>
      </w:r>
    </w:p>
    <w:p w14:paraId="3F31BF3A">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4.</w:t>
      </w:r>
      <w:r>
        <w:rPr>
          <w:rFonts w:hint="eastAsia" w:ascii="黑体" w:hAnsi="黑体" w:eastAsia="黑体"/>
          <w:sz w:val="24"/>
          <w:lang w:val="en-US" w:eastAsia="zh-CN"/>
        </w:rPr>
        <w:t>课程设置及</w:t>
      </w:r>
      <w:r>
        <w:rPr>
          <w:rFonts w:hint="eastAsia" w:ascii="黑体" w:hAnsi="黑体" w:eastAsia="黑体"/>
          <w:sz w:val="24"/>
        </w:rPr>
        <w:t>学分</w:t>
      </w:r>
      <w:r>
        <w:rPr>
          <w:rFonts w:hint="eastAsia" w:ascii="黑体" w:hAnsi="黑体" w:eastAsia="黑体"/>
          <w:sz w:val="24"/>
          <w:lang w:val="en-US" w:eastAsia="zh-CN"/>
        </w:rPr>
        <w:t>要求</w:t>
      </w:r>
    </w:p>
    <w:p w14:paraId="43820C09">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1</w:t>
      </w:r>
      <w:r>
        <w:rPr>
          <w:rFonts w:hint="eastAsia" w:ascii="宋体" w:hAnsi="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课程设置</w:t>
      </w:r>
    </w:p>
    <w:p w14:paraId="0E7116F5">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一般课程每16学时计1学分。研究生应根据科学研究和学位论文的需要，在导师指导下选择适合的课程学习。是否要求补修课程由学院自行确定，补修课程不计学分。 </w:t>
      </w:r>
    </w:p>
    <w:p w14:paraId="34FBD37B">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课程分为公共课程和专业课程。</w:t>
      </w:r>
    </w:p>
    <w:p w14:paraId="6D2F0650">
      <w:pPr>
        <w:keepNext w:val="0"/>
        <w:keepLines w:val="0"/>
        <w:widowControl/>
        <w:numPr>
          <w:ilvl w:val="0"/>
          <w:numId w:val="2"/>
        </w:numPr>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公共课程包含：政治理论课程，工程伦理，学术道德及论文写作类，等。</w:t>
      </w:r>
    </w:p>
    <w:p w14:paraId="4922C4F7">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u w:val="single"/>
          <w:lang w:val="en-US" w:eastAsia="zh-CN" w:bidi="ar"/>
        </w:rPr>
      </w:pPr>
      <w:r>
        <w:rPr>
          <w:rFonts w:hint="eastAsia" w:asciiTheme="minorEastAsia" w:hAnsiTheme="minorEastAsia" w:eastAsiaTheme="minorEastAsia" w:cstheme="minorEastAsia"/>
          <w:color w:val="000000"/>
          <w:kern w:val="0"/>
          <w:sz w:val="24"/>
          <w:szCs w:val="24"/>
          <w:highlight w:val="none"/>
          <w:u w:val="single"/>
          <w:lang w:val="en-US" w:eastAsia="zh-CN" w:bidi="ar"/>
        </w:rPr>
        <w:t>《科学道德与学术规范》课程的授课及考核，由“能源电力学科思政教育平台”牵头学院实施。</w:t>
      </w:r>
    </w:p>
    <w:p w14:paraId="22DBDC41">
      <w:pPr>
        <w:autoSpaceDE w:val="0"/>
        <w:autoSpaceDN w:val="0"/>
        <w:adjustRightInd w:val="0"/>
        <w:spacing w:line="360" w:lineRule="auto"/>
        <w:ind w:firstLine="480" w:firstLineChars="200"/>
        <w:jc w:val="left"/>
        <w:rPr>
          <w:rFonts w:hint="eastAsia" w:ascii="宋体" w:hAnsi="宋体" w:eastAsia="宋体" w:cs="宋体"/>
          <w:b w:val="0"/>
          <w:bCs w:val="0"/>
          <w:kern w:val="0"/>
          <w:sz w:val="24"/>
          <w:szCs w:val="24"/>
          <w:highlight w:val="yellow"/>
        </w:rPr>
      </w:pP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专业课程包含：数学课程，专业基础（核心）课程，专业选修（方向）课程（</w:t>
      </w:r>
      <w:r>
        <w:rPr>
          <w:rFonts w:hint="eastAsia" w:ascii="宋体" w:hAnsi="宋体" w:eastAsia="宋体" w:cs="宋体"/>
          <w:color w:val="000000"/>
          <w:kern w:val="0"/>
          <w:sz w:val="24"/>
          <w:szCs w:val="24"/>
          <w:u w:val="single"/>
          <w:lang w:val="en-US" w:eastAsia="zh-CN" w:bidi="ar"/>
        </w:rPr>
        <w:t>包含校企共建、实践性课程</w:t>
      </w:r>
      <w:r>
        <w:rPr>
          <w:rFonts w:hint="eastAsia" w:ascii="宋体" w:hAnsi="宋体" w:eastAsia="宋体" w:cs="宋体"/>
          <w:color w:val="000000"/>
          <w:kern w:val="0"/>
          <w:sz w:val="24"/>
          <w:szCs w:val="24"/>
          <w:lang w:val="en-US" w:eastAsia="zh-CN" w:bidi="ar"/>
        </w:rPr>
        <w:t>），等。</w:t>
      </w:r>
      <w:r>
        <w:rPr>
          <w:rFonts w:hint="eastAsia" w:ascii="宋体" w:hAnsi="宋体" w:eastAsia="宋体" w:cs="宋体"/>
          <w:b w:val="0"/>
          <w:bCs w:val="0"/>
          <w:kern w:val="0"/>
          <w:sz w:val="24"/>
          <w:szCs w:val="24"/>
          <w:highlight w:val="none"/>
          <w:u w:val="single"/>
        </w:rPr>
        <w:t>不同学院招生和培养</w:t>
      </w:r>
      <w:r>
        <w:rPr>
          <w:rFonts w:hint="eastAsia" w:ascii="宋体" w:hAnsi="宋体" w:eastAsia="宋体" w:cs="宋体"/>
          <w:b w:val="0"/>
          <w:bCs w:val="0"/>
          <w:kern w:val="0"/>
          <w:sz w:val="24"/>
          <w:szCs w:val="24"/>
          <w:highlight w:val="none"/>
          <w:u w:val="single"/>
          <w:lang w:eastAsia="zh-CN"/>
        </w:rPr>
        <w:t>“</w:t>
      </w:r>
      <w:r>
        <w:rPr>
          <w:rFonts w:hint="eastAsia" w:ascii="宋体" w:hAnsi="宋体" w:eastAsia="宋体" w:cs="宋体"/>
          <w:b w:val="0"/>
          <w:bCs w:val="0"/>
          <w:kern w:val="0"/>
          <w:sz w:val="24"/>
          <w:szCs w:val="24"/>
          <w:highlight w:val="none"/>
          <w:u w:val="single"/>
          <w:lang w:val="en-US" w:eastAsia="zh-CN"/>
        </w:rPr>
        <w:t>能源动力类”</w:t>
      </w:r>
      <w:r>
        <w:rPr>
          <w:rFonts w:hint="eastAsia" w:ascii="宋体" w:hAnsi="宋体" w:cs="宋体"/>
          <w:b w:val="0"/>
          <w:bCs w:val="0"/>
          <w:kern w:val="0"/>
          <w:sz w:val="24"/>
          <w:szCs w:val="24"/>
          <w:highlight w:val="none"/>
          <w:u w:val="single"/>
          <w:lang w:val="en-US" w:eastAsia="zh-CN"/>
        </w:rPr>
        <w:t>卓业学位博士</w:t>
      </w:r>
      <w:r>
        <w:rPr>
          <w:rFonts w:hint="eastAsia" w:ascii="宋体" w:hAnsi="宋体" w:eastAsia="宋体" w:cs="宋体"/>
          <w:b w:val="0"/>
          <w:bCs w:val="0"/>
          <w:kern w:val="0"/>
          <w:sz w:val="24"/>
          <w:szCs w:val="24"/>
          <w:highlight w:val="none"/>
          <w:u w:val="single"/>
        </w:rPr>
        <w:t>研究生的，</w:t>
      </w:r>
      <w:r>
        <w:rPr>
          <w:rFonts w:hint="eastAsia" w:ascii="宋体" w:hAnsi="宋体" w:eastAsia="宋体" w:cs="宋体"/>
          <w:b w:val="0"/>
          <w:bCs w:val="0"/>
          <w:kern w:val="0"/>
          <w:sz w:val="24"/>
          <w:szCs w:val="24"/>
          <w:highlight w:val="none"/>
          <w:u w:val="single"/>
          <w:lang w:val="en-US" w:eastAsia="zh-CN"/>
        </w:rPr>
        <w:t>要</w:t>
      </w:r>
      <w:r>
        <w:rPr>
          <w:rFonts w:hint="eastAsia" w:ascii="宋体" w:hAnsi="宋体" w:eastAsia="宋体" w:cs="宋体"/>
          <w:b w:val="0"/>
          <w:bCs w:val="0"/>
          <w:kern w:val="0"/>
          <w:sz w:val="24"/>
          <w:szCs w:val="24"/>
          <w:highlight w:val="none"/>
          <w:u w:val="single"/>
        </w:rPr>
        <w:t>保证</w:t>
      </w:r>
      <w:r>
        <w:rPr>
          <w:rFonts w:hint="eastAsia" w:ascii="宋体" w:hAnsi="宋体" w:eastAsia="宋体" w:cs="宋体"/>
          <w:b w:val="0"/>
          <w:bCs w:val="0"/>
          <w:kern w:val="0"/>
          <w:sz w:val="24"/>
          <w:szCs w:val="24"/>
          <w:highlight w:val="none"/>
          <w:u w:val="single"/>
          <w:lang w:val="en-US" w:eastAsia="zh-CN"/>
        </w:rPr>
        <w:t>不同专业方向的课程体系中有</w:t>
      </w:r>
      <w:r>
        <w:rPr>
          <w:rFonts w:hint="eastAsia" w:ascii="宋体" w:hAnsi="宋体" w:eastAsia="宋体" w:cs="宋体"/>
          <w:b w:val="0"/>
          <w:bCs w:val="0"/>
          <w:kern w:val="0"/>
          <w:sz w:val="24"/>
          <w:szCs w:val="24"/>
          <w:highlight w:val="none"/>
          <w:u w:val="single"/>
        </w:rPr>
        <w:t>一定的共通性</w:t>
      </w:r>
      <w:r>
        <w:rPr>
          <w:rFonts w:hint="eastAsia" w:ascii="宋体" w:hAnsi="宋体" w:eastAsia="宋体" w:cs="宋体"/>
          <w:b w:val="0"/>
          <w:bCs w:val="0"/>
          <w:kern w:val="0"/>
          <w:sz w:val="24"/>
          <w:szCs w:val="24"/>
          <w:highlight w:val="none"/>
          <w:u w:val="single"/>
          <w:lang w:eastAsia="zh-CN"/>
        </w:rPr>
        <w:t>（</w:t>
      </w:r>
      <w:r>
        <w:rPr>
          <w:rFonts w:hint="eastAsia" w:ascii="宋体" w:hAnsi="宋体" w:eastAsia="宋体" w:cs="宋体"/>
          <w:b w:val="0"/>
          <w:bCs w:val="0"/>
          <w:kern w:val="0"/>
          <w:sz w:val="24"/>
          <w:szCs w:val="24"/>
          <w:highlight w:val="none"/>
          <w:u w:val="single"/>
        </w:rPr>
        <w:t>专业基础课中须1-2门相同课程）</w:t>
      </w:r>
      <w:r>
        <w:rPr>
          <w:rFonts w:hint="eastAsia" w:ascii="宋体" w:hAnsi="宋体" w:eastAsia="宋体" w:cs="宋体"/>
          <w:b w:val="0"/>
          <w:bCs w:val="0"/>
          <w:kern w:val="0"/>
          <w:sz w:val="24"/>
          <w:szCs w:val="24"/>
          <w:highlight w:val="none"/>
          <w:u w:val="single"/>
          <w:lang w:eastAsia="zh-CN"/>
        </w:rPr>
        <w:t>，</w:t>
      </w:r>
      <w:r>
        <w:rPr>
          <w:rFonts w:hint="eastAsia" w:ascii="宋体" w:hAnsi="宋体" w:eastAsia="宋体" w:cs="宋体"/>
          <w:b w:val="0"/>
          <w:bCs w:val="0"/>
          <w:kern w:val="0"/>
          <w:sz w:val="24"/>
          <w:szCs w:val="24"/>
          <w:highlight w:val="none"/>
          <w:u w:val="single"/>
          <w:lang w:val="en-US" w:eastAsia="zh-CN"/>
        </w:rPr>
        <w:t>由牵头学院负责把关</w:t>
      </w:r>
      <w:r>
        <w:rPr>
          <w:rFonts w:hint="eastAsia" w:ascii="宋体" w:hAnsi="宋体" w:eastAsia="宋体" w:cs="宋体"/>
          <w:b w:val="0"/>
          <w:bCs w:val="0"/>
          <w:kern w:val="0"/>
          <w:sz w:val="24"/>
          <w:szCs w:val="24"/>
          <w:highlight w:val="none"/>
          <w:u w:val="single"/>
        </w:rPr>
        <w:t>。</w:t>
      </w:r>
    </w:p>
    <w:p w14:paraId="0BD1F58D">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 xml:space="preserve">必选环节 </w:t>
      </w:r>
    </w:p>
    <w:p w14:paraId="7B90CB54">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专业学位博士必选环节包含：文献综述与开题报告、学术前沿研讨类、国际交流、专业实践和其他专项训练。培养单位可根据学位类别的特点增设其他必选环节，加强培养过程管理，对各环节设置有明确要求。</w:t>
      </w:r>
    </w:p>
    <w:p w14:paraId="1AEB847C">
      <w:pPr>
        <w:spacing w:line="360" w:lineRule="auto"/>
        <w:rPr>
          <w:rFonts w:hint="default" w:ascii="宋体" w:hAnsi="宋体" w:cs="宋体"/>
          <w:b/>
          <w:bCs/>
          <w:sz w:val="24"/>
          <w:szCs w:val="24"/>
          <w:lang w:val="en-US" w:eastAsia="zh-CN"/>
        </w:rPr>
      </w:pPr>
      <w:r>
        <w:rPr>
          <w:rFonts w:hint="eastAsia" w:ascii="宋体" w:hAnsi="宋体" w:cs="宋体"/>
          <w:b/>
          <w:bCs/>
          <w:sz w:val="24"/>
          <w:szCs w:val="24"/>
          <w:lang w:val="en-US" w:eastAsia="zh-CN"/>
        </w:rPr>
        <w:t>5.学位论文与申请学位实践成果要求</w:t>
      </w:r>
    </w:p>
    <w:p w14:paraId="174B2911">
      <w:pPr>
        <w:keepNext w:val="0"/>
        <w:keepLines w:val="0"/>
        <w:widowControl/>
        <w:suppressLineNumbers w:val="0"/>
        <w:spacing w:line="360" w:lineRule="auto"/>
        <w:ind w:left="0" w:leftChars="0" w:firstLine="0" w:firstLineChars="0"/>
        <w:jc w:val="left"/>
        <w:rPr>
          <w:rFonts w:hint="eastAsia" w:ascii="宋体" w:hAnsi="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 </w:t>
      </w:r>
      <w:r>
        <w:rPr>
          <w:rFonts w:hint="eastAsia" w:ascii="宋体" w:hAnsi="宋体" w:cs="宋体"/>
          <w:b/>
          <w:bCs/>
          <w:color w:val="000000"/>
          <w:kern w:val="0"/>
          <w:sz w:val="24"/>
          <w:szCs w:val="24"/>
          <w:lang w:val="en-US" w:eastAsia="zh-CN" w:bidi="ar"/>
        </w:rPr>
        <w:t xml:space="preserve">  1）学位论文</w:t>
      </w:r>
    </w:p>
    <w:p w14:paraId="08A7B794">
      <w:pPr>
        <w:keepNext w:val="0"/>
        <w:keepLines w:val="0"/>
        <w:widowControl/>
        <w:suppressLineNumbers w:val="0"/>
        <w:spacing w:line="360" w:lineRule="auto"/>
        <w:ind w:left="0" w:leftChars="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工程类博士专业学位</w:t>
      </w:r>
      <w:r>
        <w:rPr>
          <w:rFonts w:hint="eastAsia" w:ascii="宋体" w:hAnsi="宋体" w:cs="宋体"/>
          <w:color w:val="000000"/>
          <w:kern w:val="0"/>
          <w:sz w:val="24"/>
          <w:szCs w:val="24"/>
          <w:lang w:val="en-US" w:eastAsia="zh-CN" w:bidi="ar"/>
        </w:rPr>
        <w:t>研究生</w:t>
      </w:r>
      <w:r>
        <w:rPr>
          <w:rFonts w:hint="eastAsia" w:ascii="宋体" w:hAnsi="宋体" w:eastAsia="宋体" w:cs="宋体"/>
          <w:color w:val="000000"/>
          <w:kern w:val="0"/>
          <w:sz w:val="24"/>
          <w:szCs w:val="24"/>
          <w:lang w:val="en-US" w:eastAsia="zh-CN" w:bidi="ar"/>
        </w:rPr>
        <w:t>学位论文应主要聚焦工程实践和应用研究，须体现工程性、创新性、实践性、应用性等特征，体现学位申请人在专业领域掌握坚实全面的基础理论和系统深入的专门知识，具有独立承担专业实践工作的能力，在专业实践领域做出创新性成果，对推动本专业领域知识和技术的发展作出重要贡献。</w:t>
      </w:r>
    </w:p>
    <w:p w14:paraId="084C17EB">
      <w:pPr>
        <w:numPr>
          <w:ilvl w:val="0"/>
          <w:numId w:val="2"/>
        </w:numPr>
        <w:spacing w:line="360" w:lineRule="auto"/>
        <w:ind w:left="0" w:leftChars="0"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申请学位实践成果</w:t>
      </w:r>
    </w:p>
    <w:p w14:paraId="6A29AE04">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申请学位实践成果应聚焦工程实际需求，以实体或工程形象展示形式呈现，须体现工程性、创新性、实践性、应用性和可展示性等特征，体现学位申请人在专业领域掌握坚实全面的基础理论和系统深入的专门知识，具有独立承担专业实践工作的能力，在专业实践领域做出创新性成果，对推动行业和专业领域技术进步作出重要贡献。</w:t>
      </w:r>
    </w:p>
    <w:p w14:paraId="3B4B343D">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关于学位论文与申请学位实践成果的要求，请各学院根据</w:t>
      </w:r>
      <w:r>
        <w:rPr>
          <w:rFonts w:hint="eastAsia" w:ascii="宋体" w:hAnsi="宋体" w:cs="宋体"/>
          <w:color w:val="000000"/>
          <w:kern w:val="0"/>
          <w:sz w:val="24"/>
          <w:szCs w:val="24"/>
          <w:u w:val="single"/>
          <w:lang w:val="en-US" w:eastAsia="zh-CN" w:bidi="ar"/>
        </w:rPr>
        <w:t>本专业</w:t>
      </w:r>
      <w:r>
        <w:rPr>
          <w:rFonts w:hint="eastAsia" w:ascii="宋体" w:hAnsi="宋体" w:eastAsia="宋体" w:cs="宋体"/>
          <w:color w:val="000000"/>
          <w:kern w:val="0"/>
          <w:sz w:val="24"/>
          <w:szCs w:val="24"/>
          <w:u w:val="single"/>
          <w:lang w:val="en-US" w:eastAsia="zh-CN" w:bidi="ar"/>
        </w:rPr>
        <w:t>具体情况参考《工程类博士专业学位研究生学位论文与申请学位实践成果基本要求（试行）》【工程教指委〔2024〕22号】制定。</w:t>
      </w:r>
    </w:p>
    <w:p w14:paraId="26750936">
      <w:pPr>
        <w:numPr>
          <w:ilvl w:val="0"/>
          <w:numId w:val="0"/>
        </w:numPr>
        <w:spacing w:line="360" w:lineRule="auto"/>
        <w:ind w:firstLine="480" w:firstLineChars="200"/>
        <w:rPr>
          <w:rFonts w:hint="eastAsia"/>
          <w:sz w:val="24"/>
          <w:szCs w:val="24"/>
          <w:highlight w:val="none"/>
          <w:u w:val="none"/>
          <w:lang w:val="en-US" w:eastAsia="zh-CN"/>
        </w:rPr>
      </w:pPr>
      <w:r>
        <w:rPr>
          <w:rFonts w:hint="eastAsia"/>
          <w:sz w:val="24"/>
          <w:szCs w:val="24"/>
          <w:highlight w:val="none"/>
          <w:u w:val="none"/>
          <w:lang w:val="en-US" w:eastAsia="zh-CN"/>
        </w:rPr>
        <w:t>培养方案中须明确本专业学位论文与申请学位实践成果要求，以及明确毕业对成果要求。</w:t>
      </w:r>
    </w:p>
    <w:p w14:paraId="3771ACBD">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（二）专业学位硕士生培养方案</w:t>
      </w:r>
    </w:p>
    <w:p w14:paraId="3A79EF90">
      <w:pPr>
        <w:spacing w:line="360" w:lineRule="auto"/>
        <w:jc w:val="left"/>
        <w:rPr>
          <w:rFonts w:hint="eastAsia" w:ascii="黑体" w:hAnsi="黑体" w:eastAsia="黑体"/>
          <w:sz w:val="24"/>
        </w:rPr>
      </w:pPr>
      <w:r>
        <w:rPr>
          <w:rFonts w:hint="eastAsia" w:ascii="黑体" w:hAnsi="黑体" w:eastAsia="黑体"/>
          <w:sz w:val="24"/>
          <w:lang w:val="en-US" w:eastAsia="zh-CN"/>
        </w:rPr>
        <w:t>1</w:t>
      </w:r>
      <w:r>
        <w:rPr>
          <w:rFonts w:hint="eastAsia" w:ascii="黑体" w:hAnsi="黑体" w:eastAsia="黑体"/>
          <w:sz w:val="24"/>
          <w:lang w:eastAsia="zh-CN"/>
        </w:rPr>
        <w:t>.</w:t>
      </w:r>
      <w:r>
        <w:rPr>
          <w:rFonts w:hint="eastAsia" w:ascii="黑体" w:hAnsi="黑体" w:eastAsia="黑体"/>
          <w:sz w:val="24"/>
        </w:rPr>
        <w:t>培养目标</w:t>
      </w:r>
    </w:p>
    <w:p w14:paraId="02BBAAED">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各专业根据自身实际与特点，制定个性鲜明、各具特色的培养目标。在满足国家对专业学位要求的而基础上，紧密结合自身优势和特色，明确培养定位，突出培养特色，更好的服务于专业学位研究生职业发展需求和社会的多元化人才需求，培养应用型、复合型高层次工程技术和管理人才。培养目标和基本要求应具备有效性和可检验性。</w:t>
      </w:r>
    </w:p>
    <w:p w14:paraId="3F72F203">
      <w:pPr>
        <w:spacing w:line="360" w:lineRule="auto"/>
        <w:rPr>
          <w:rFonts w:hint="eastAsia" w:ascii="黑体" w:hAnsi="黑体" w:eastAsia="黑体"/>
          <w:sz w:val="24"/>
        </w:rPr>
      </w:pPr>
      <w:r>
        <w:rPr>
          <w:rFonts w:hint="eastAsia" w:ascii="黑体" w:hAnsi="黑体" w:eastAsia="黑体"/>
          <w:sz w:val="24"/>
          <w:lang w:val="en-US" w:eastAsia="zh-CN"/>
        </w:rPr>
        <w:t>2</w:t>
      </w:r>
      <w:r>
        <w:rPr>
          <w:rFonts w:hint="eastAsia" w:ascii="黑体" w:hAnsi="黑体" w:eastAsia="黑体"/>
          <w:sz w:val="24"/>
          <w:lang w:eastAsia="zh-CN"/>
        </w:rPr>
        <w:t>.</w:t>
      </w:r>
      <w:r>
        <w:rPr>
          <w:rFonts w:hint="eastAsia" w:ascii="黑体" w:hAnsi="黑体" w:eastAsia="黑体"/>
          <w:sz w:val="24"/>
          <w:lang w:val="en-US" w:eastAsia="zh-CN"/>
        </w:rPr>
        <w:t>学制及</w:t>
      </w:r>
      <w:r>
        <w:rPr>
          <w:rFonts w:hint="eastAsia" w:ascii="黑体" w:hAnsi="黑体" w:eastAsia="黑体"/>
          <w:sz w:val="24"/>
        </w:rPr>
        <w:t>学习年限</w:t>
      </w:r>
    </w:p>
    <w:p w14:paraId="7FDA865D">
      <w:pPr>
        <w:spacing w:line="360" w:lineRule="auto"/>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学制和学习年限参照《上海电力大学研究生学籍管理规定》执行，全日制和非全日制应在学校规定的最长修学年限内完成学业。</w:t>
      </w:r>
    </w:p>
    <w:p w14:paraId="6F0C3EDE">
      <w:pPr>
        <w:spacing w:line="360" w:lineRule="auto"/>
        <w:rPr>
          <w:rFonts w:hint="eastAsia" w:ascii="黑体" w:hAnsi="黑体" w:eastAsia="黑体"/>
          <w:sz w:val="24"/>
        </w:rPr>
      </w:pPr>
      <w:r>
        <w:rPr>
          <w:rFonts w:hint="eastAsia" w:ascii="黑体" w:hAnsi="黑体" w:eastAsia="黑体"/>
          <w:sz w:val="24"/>
          <w:lang w:val="en-US" w:eastAsia="zh-CN"/>
        </w:rPr>
        <w:t>3</w:t>
      </w:r>
      <w:r>
        <w:rPr>
          <w:rFonts w:hint="eastAsia" w:ascii="黑体" w:hAnsi="黑体" w:eastAsia="黑体"/>
          <w:sz w:val="24"/>
          <w:lang w:eastAsia="zh-CN"/>
        </w:rPr>
        <w:t>.</w:t>
      </w:r>
      <w:r>
        <w:rPr>
          <w:rFonts w:hint="eastAsia" w:ascii="黑体" w:hAnsi="黑体" w:eastAsia="黑体"/>
          <w:sz w:val="24"/>
        </w:rPr>
        <w:t>培养方式</w:t>
      </w:r>
    </w:p>
    <w:p w14:paraId="1E34BD8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专业学位研究生的培养主要采取课程学习、专业实践和学位论文相结合的培养方式，坚持产教联合培养，实行校内外双导师指导模式。鼓励海内外合作培养和多学科交叉培养，实行导师组联合指导模式。</w:t>
      </w:r>
    </w:p>
    <w:p w14:paraId="52CACE7B">
      <w:pPr>
        <w:autoSpaceDE w:val="0"/>
        <w:autoSpaceDN w:val="0"/>
        <w:adjustRightInd w:val="0"/>
        <w:spacing w:line="360" w:lineRule="auto"/>
        <w:ind w:firstLine="480" w:firstLineChars="200"/>
        <w:jc w:val="left"/>
        <w:rPr>
          <w:sz w:val="24"/>
        </w:rPr>
      </w:pPr>
      <w:r>
        <w:rPr>
          <w:rFonts w:hint="eastAsia"/>
          <w:sz w:val="24"/>
          <w:lang w:eastAsia="zh-CN"/>
        </w:rPr>
        <w:t>（</w:t>
      </w:r>
      <w:r>
        <w:rPr>
          <w:sz w:val="24"/>
        </w:rPr>
        <w:t>1</w:t>
      </w:r>
      <w:r>
        <w:rPr>
          <w:rFonts w:hint="eastAsia"/>
          <w:sz w:val="24"/>
          <w:lang w:eastAsia="zh-CN"/>
        </w:rPr>
        <w:t>）</w:t>
      </w:r>
      <w:r>
        <w:rPr>
          <w:sz w:val="24"/>
        </w:rPr>
        <w:t>实行导师（组）负责制，导师组应有来自培养单位具有较高学术水平和丰富指导经验的教师，以及来自企业具有丰富工程实践经验的专家。</w:t>
      </w:r>
    </w:p>
    <w:p w14:paraId="195AD68E">
      <w:pPr>
        <w:autoSpaceDE w:val="0"/>
        <w:autoSpaceDN w:val="0"/>
        <w:adjustRightInd w:val="0"/>
        <w:spacing w:line="360" w:lineRule="auto"/>
        <w:ind w:firstLine="480" w:firstLineChars="200"/>
        <w:jc w:val="left"/>
        <w:rPr>
          <w:sz w:val="24"/>
        </w:rPr>
      </w:pPr>
      <w:r>
        <w:rPr>
          <w:rFonts w:hint="eastAsia"/>
          <w:sz w:val="24"/>
          <w:lang w:eastAsia="zh-CN"/>
        </w:rPr>
        <w:t>（</w:t>
      </w:r>
      <w:r>
        <w:rPr>
          <w:sz w:val="24"/>
        </w:rPr>
        <w:t>2</w:t>
      </w:r>
      <w:r>
        <w:rPr>
          <w:rFonts w:hint="eastAsia"/>
          <w:sz w:val="24"/>
          <w:lang w:eastAsia="zh-CN"/>
        </w:rPr>
        <w:t>）</w:t>
      </w:r>
      <w:r>
        <w:rPr>
          <w:sz w:val="24"/>
        </w:rPr>
        <w:t>专业学位研究生的培养主要采取课程学习、专业实践和学位论文相结合的培养方式，三者同等重要；专业学位研究生可采用全日制和非全日制两种学习方式。</w:t>
      </w:r>
    </w:p>
    <w:p w14:paraId="7115E127">
      <w:pPr>
        <w:autoSpaceDE w:val="0"/>
        <w:autoSpaceDN w:val="0"/>
        <w:adjustRightInd w:val="0"/>
        <w:spacing w:line="360" w:lineRule="auto"/>
        <w:ind w:firstLine="480" w:firstLineChars="200"/>
        <w:jc w:val="left"/>
        <w:rPr>
          <w:sz w:val="24"/>
        </w:rPr>
      </w:pPr>
      <w:r>
        <w:rPr>
          <w:rFonts w:hint="eastAsia"/>
          <w:sz w:val="24"/>
          <w:lang w:eastAsia="zh-CN"/>
        </w:rPr>
        <w:t>（</w:t>
      </w:r>
      <w:r>
        <w:rPr>
          <w:sz w:val="24"/>
        </w:rPr>
        <w:t>3</w:t>
      </w:r>
      <w:r>
        <w:rPr>
          <w:rFonts w:hint="eastAsia"/>
          <w:sz w:val="24"/>
          <w:lang w:eastAsia="zh-CN"/>
        </w:rPr>
        <w:t>）</w:t>
      </w:r>
      <w:r>
        <w:rPr>
          <w:sz w:val="24"/>
        </w:rPr>
        <w:t>专业实践原则上要到企业进行，时间不得少于半年，</w:t>
      </w:r>
      <w:r>
        <w:rPr>
          <w:rFonts w:hint="eastAsia"/>
          <w:sz w:val="24"/>
        </w:rPr>
        <w:t>其中</w:t>
      </w:r>
      <w:r>
        <w:rPr>
          <w:sz w:val="24"/>
        </w:rPr>
        <w:t>不具有2年企业工作经历的研究生专业实践时间应不少于1年。可采用集中实践和分段实践相结合的方式；根据具体情况，课程学习和专业实践也可以分学期交叉进行。</w:t>
      </w:r>
    </w:p>
    <w:p w14:paraId="47FE3987">
      <w:pPr>
        <w:autoSpaceDE w:val="0"/>
        <w:autoSpaceDN w:val="0"/>
        <w:adjustRightInd w:val="0"/>
        <w:spacing w:line="360" w:lineRule="auto"/>
        <w:ind w:firstLine="480" w:firstLineChars="200"/>
        <w:jc w:val="left"/>
        <w:rPr>
          <w:rFonts w:ascii="宋体" w:hAnsi="宋体"/>
          <w:sz w:val="24"/>
        </w:rPr>
      </w:pPr>
      <w:r>
        <w:rPr>
          <w:rFonts w:hint="eastAsia"/>
          <w:sz w:val="24"/>
          <w:lang w:eastAsia="zh-CN"/>
        </w:rPr>
        <w:t>（</w:t>
      </w:r>
      <w:r>
        <w:rPr>
          <w:sz w:val="24"/>
        </w:rPr>
        <w:t>4</w:t>
      </w:r>
      <w:r>
        <w:rPr>
          <w:rFonts w:hint="eastAsia"/>
          <w:sz w:val="24"/>
          <w:lang w:eastAsia="zh-CN"/>
        </w:rPr>
        <w:t>）</w:t>
      </w:r>
      <w:r>
        <w:rPr>
          <w:sz w:val="24"/>
        </w:rPr>
        <w:t>学位论文</w:t>
      </w:r>
      <w:r>
        <w:rPr>
          <w:rFonts w:ascii="宋体" w:hAnsi="宋体"/>
          <w:sz w:val="24"/>
        </w:rPr>
        <w:t>工作要结合专业实践进行，论文选题必须</w:t>
      </w:r>
      <w:r>
        <w:rPr>
          <w:rFonts w:hint="eastAsia" w:ascii="宋体" w:hAnsi="宋体"/>
          <w:sz w:val="24"/>
        </w:rPr>
        <w:t>强化应用导向，</w:t>
      </w:r>
      <w:r>
        <w:rPr>
          <w:rFonts w:ascii="宋体" w:hAnsi="宋体"/>
          <w:sz w:val="24"/>
        </w:rPr>
        <w:t>具备工程背景，论文工作的有效时间不得少于一年。</w:t>
      </w:r>
    </w:p>
    <w:p w14:paraId="1BB4205D">
      <w:pPr>
        <w:spacing w:line="360" w:lineRule="auto"/>
        <w:rPr>
          <w:rFonts w:hint="eastAsia" w:ascii="黑体" w:hAnsi="黑体" w:eastAsia="黑体"/>
          <w:sz w:val="24"/>
          <w:lang w:val="en-US" w:eastAsia="zh-CN"/>
        </w:rPr>
      </w:pPr>
      <w:r>
        <w:rPr>
          <w:rFonts w:hint="eastAsia" w:ascii="黑体" w:hAnsi="黑体" w:eastAsia="黑体"/>
          <w:sz w:val="24"/>
          <w:lang w:val="en-US" w:eastAsia="zh-CN"/>
        </w:rPr>
        <w:t>4</w:t>
      </w:r>
      <w:r>
        <w:rPr>
          <w:rFonts w:hint="eastAsia" w:ascii="黑体" w:hAnsi="黑体" w:eastAsia="黑体"/>
          <w:sz w:val="24"/>
          <w:lang w:eastAsia="zh-CN"/>
        </w:rPr>
        <w:t>.</w:t>
      </w:r>
      <w:r>
        <w:rPr>
          <w:rFonts w:hint="eastAsia" w:ascii="黑体" w:hAnsi="黑体" w:eastAsia="黑体"/>
          <w:sz w:val="24"/>
          <w:lang w:val="en-US" w:eastAsia="zh-CN"/>
        </w:rPr>
        <w:t>课程设置及</w:t>
      </w:r>
      <w:r>
        <w:rPr>
          <w:rFonts w:hint="eastAsia" w:ascii="黑体" w:hAnsi="黑体" w:eastAsia="黑体"/>
          <w:sz w:val="24"/>
        </w:rPr>
        <w:t>学分</w:t>
      </w:r>
      <w:r>
        <w:rPr>
          <w:rFonts w:hint="eastAsia" w:ascii="黑体" w:hAnsi="黑体" w:eastAsia="黑体"/>
          <w:sz w:val="24"/>
          <w:lang w:val="en-US" w:eastAsia="zh-CN"/>
        </w:rPr>
        <w:t>要求</w:t>
      </w:r>
    </w:p>
    <w:p w14:paraId="16369E67">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课程学习应紧密围绕人才培养目标及基本要求，在满足学分要求的同时，注重课程体系的先进性、模块化、复合性、工程性和创新性，满足社会多元化需求和学生个性化培养需求。专业学位课程设置应强调专业基础、工程能力和职业发展潜力的综合培养，注重发挥在线教学、案例教学和实践教学的协同优势。各专业根据自身特点，确定各类课程的内容和学分，达到专业学位应具备的知识结构、能力和综合素养的要求。</w:t>
      </w:r>
    </w:p>
    <w:p w14:paraId="39633F76">
      <w:pPr>
        <w:keepNext w:val="0"/>
        <w:keepLines w:val="0"/>
        <w:widowControl/>
        <w:numPr>
          <w:ilvl w:val="0"/>
          <w:numId w:val="0"/>
        </w:numPr>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课程设置</w:t>
      </w:r>
    </w:p>
    <w:p w14:paraId="2CFAFD17">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一般课程每16学时计1学分。研究生应根据科学研究和学位论文的需要，在导师指导下选择适合的课程学习。 是否要求补修本科/硕士核心课程由各学院自行确定，补修课程不计学分。 </w:t>
      </w:r>
    </w:p>
    <w:p w14:paraId="1023AC8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课程学习和专业实践实行学分制，</w:t>
      </w:r>
      <w:r>
        <w:rPr>
          <w:rFonts w:hint="eastAsia" w:ascii="宋体" w:hAnsi="宋体" w:eastAsia="宋体" w:cs="宋体"/>
          <w:color w:val="000000"/>
          <w:kern w:val="0"/>
          <w:sz w:val="24"/>
          <w:szCs w:val="24"/>
        </w:rPr>
        <w:t>总学分不少于32学分，其中课程学分不少于28学分，专业实践4学分。</w:t>
      </w:r>
      <w:bookmarkStart w:id="1" w:name="_Hlk102052521"/>
      <w:r>
        <w:rPr>
          <w:rFonts w:hint="eastAsia" w:ascii="宋体" w:hAnsi="宋体" w:eastAsia="宋体" w:cs="宋体"/>
          <w:color w:val="000000"/>
          <w:kern w:val="0"/>
          <w:sz w:val="24"/>
          <w:szCs w:val="24"/>
        </w:rPr>
        <w:t>课程设置框架包含公共必修课程、专业基础课程、选修课程。</w:t>
      </w:r>
      <w:bookmarkEnd w:id="1"/>
    </w:p>
    <w:p w14:paraId="6D9CD274">
      <w:pPr>
        <w:autoSpaceDE w:val="0"/>
        <w:autoSpaceDN w:val="0"/>
        <w:adjustRightInd w:val="0"/>
        <w:spacing w:line="360" w:lineRule="auto"/>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1</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公共必修课程（=7学分）</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包含：政治理论</w:t>
      </w:r>
      <w:r>
        <w:rPr>
          <w:rFonts w:hint="eastAsia" w:ascii="宋体" w:hAnsi="宋体" w:eastAsia="宋体" w:cs="宋体"/>
          <w:b w:val="0"/>
          <w:bCs w:val="0"/>
          <w:color w:val="000000"/>
          <w:kern w:val="0"/>
          <w:sz w:val="24"/>
          <w:szCs w:val="24"/>
          <w:lang w:val="en-US" w:eastAsia="zh-CN"/>
        </w:rPr>
        <w:t>3学分</w:t>
      </w:r>
      <w:r>
        <w:rPr>
          <w:rFonts w:hint="eastAsia" w:ascii="宋体" w:hAnsi="宋体" w:eastAsia="宋体" w:cs="宋体"/>
          <w:b w:val="0"/>
          <w:bCs w:val="0"/>
          <w:color w:val="000000"/>
          <w:kern w:val="0"/>
          <w:sz w:val="24"/>
          <w:szCs w:val="24"/>
        </w:rPr>
        <w:t>、外语</w:t>
      </w:r>
      <w:r>
        <w:rPr>
          <w:rFonts w:hint="eastAsia" w:ascii="宋体" w:hAnsi="宋体" w:eastAsia="宋体" w:cs="宋体"/>
          <w:b w:val="0"/>
          <w:bCs w:val="0"/>
          <w:color w:val="000000"/>
          <w:kern w:val="0"/>
          <w:sz w:val="24"/>
          <w:szCs w:val="24"/>
          <w:lang w:val="en-US" w:eastAsia="zh-CN"/>
        </w:rPr>
        <w:t>2学分</w:t>
      </w:r>
      <w:r>
        <w:rPr>
          <w:rFonts w:hint="eastAsia" w:ascii="宋体" w:hAnsi="宋体" w:eastAsia="宋体" w:cs="宋体"/>
          <w:b w:val="0"/>
          <w:bCs w:val="0"/>
          <w:color w:val="000000"/>
          <w:kern w:val="0"/>
          <w:sz w:val="24"/>
          <w:szCs w:val="24"/>
        </w:rPr>
        <w:t>、工程伦理</w:t>
      </w:r>
      <w:r>
        <w:rPr>
          <w:rFonts w:hint="eastAsia" w:ascii="宋体" w:hAnsi="宋体" w:eastAsia="宋体" w:cs="宋体"/>
          <w:b w:val="0"/>
          <w:bCs w:val="0"/>
          <w:color w:val="000000"/>
          <w:kern w:val="0"/>
          <w:sz w:val="24"/>
          <w:szCs w:val="24"/>
          <w:lang w:val="en-US" w:eastAsia="zh-CN"/>
        </w:rPr>
        <w:t>1学分、学术道德和论文写作类课程1学分</w:t>
      </w:r>
      <w:r>
        <w:rPr>
          <w:rFonts w:hint="eastAsia" w:ascii="宋体" w:hAnsi="宋体" w:eastAsia="宋体" w:cs="宋体"/>
          <w:b w:val="0"/>
          <w:bCs w:val="0"/>
          <w:color w:val="000000"/>
          <w:kern w:val="0"/>
          <w:sz w:val="24"/>
          <w:szCs w:val="24"/>
        </w:rPr>
        <w:t>。</w:t>
      </w:r>
    </w:p>
    <w:p w14:paraId="65A571FF">
      <w:pPr>
        <w:autoSpaceDE w:val="0"/>
        <w:autoSpaceDN w:val="0"/>
        <w:adjustRightInd w:val="0"/>
        <w:spacing w:line="360" w:lineRule="auto"/>
        <w:ind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lang w:val="en-US" w:eastAsia="zh-CN"/>
        </w:rPr>
        <w:t>2</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专业基础课（</w:t>
      </w:r>
      <w:r>
        <w:rPr>
          <w:rFonts w:hint="eastAsia" w:ascii="宋体" w:hAnsi="宋体" w:eastAsia="宋体" w:cs="宋体"/>
          <w:b w:val="0"/>
          <w:bCs w:val="0"/>
          <w:sz w:val="24"/>
          <w:szCs w:val="24"/>
        </w:rPr>
        <w:t>≥8学分）</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kern w:val="0"/>
          <w:sz w:val="24"/>
          <w:szCs w:val="24"/>
        </w:rPr>
        <w:t>包含：数学类课程、专业基础课程。专业基础课程</w:t>
      </w:r>
      <w:r>
        <w:rPr>
          <w:rFonts w:hint="eastAsia" w:ascii="宋体" w:hAnsi="宋体" w:eastAsia="宋体" w:cs="宋体"/>
          <w:b w:val="0"/>
          <w:bCs w:val="0"/>
          <w:kern w:val="0"/>
          <w:sz w:val="24"/>
          <w:szCs w:val="24"/>
          <w:highlight w:val="none"/>
        </w:rPr>
        <w:t>至少有一门指南目录内核心课程（在课程设置中标明）。不同学院分别招生和培养同一专业学位领域</w:t>
      </w:r>
      <w:r>
        <w:rPr>
          <w:rFonts w:hint="eastAsia" w:ascii="宋体" w:hAnsi="宋体" w:eastAsia="宋体" w:cs="宋体"/>
          <w:b w:val="0"/>
          <w:bCs w:val="0"/>
          <w:sz w:val="24"/>
          <w:szCs w:val="24"/>
          <w:highlight w:val="none"/>
        </w:rPr>
        <w:t>（清洁能源技术085807、人工智能085410、大数据技术与工程085411）</w:t>
      </w:r>
      <w:r>
        <w:rPr>
          <w:rFonts w:hint="eastAsia" w:ascii="宋体" w:hAnsi="宋体" w:eastAsia="宋体" w:cs="宋体"/>
          <w:b w:val="0"/>
          <w:bCs w:val="0"/>
          <w:kern w:val="0"/>
          <w:sz w:val="24"/>
          <w:szCs w:val="24"/>
          <w:highlight w:val="none"/>
        </w:rPr>
        <w:t>研究生的，保证同一专业学位领域培养一定的共通性（专业基础课中须1-2门相同课程）。</w:t>
      </w:r>
    </w:p>
    <w:p w14:paraId="382AE1E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rPr>
        <w:t>3</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选修课</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包</w:t>
      </w:r>
      <w:r>
        <w:rPr>
          <w:rFonts w:hint="eastAsia" w:ascii="宋体" w:hAnsi="宋体" w:eastAsia="宋体" w:cs="宋体"/>
          <w:color w:val="000000"/>
          <w:kern w:val="0"/>
          <w:sz w:val="24"/>
          <w:szCs w:val="24"/>
        </w:rPr>
        <w:t>含：专业技术课程</w:t>
      </w:r>
      <w:r>
        <w:rPr>
          <w:rFonts w:hint="eastAsia" w:ascii="宋体" w:hAnsi="宋体" w:cs="宋体"/>
          <w:color w:val="000000"/>
          <w:kern w:val="0"/>
          <w:sz w:val="24"/>
          <w:szCs w:val="24"/>
          <w:u w:val="none"/>
          <w:lang w:val="en-US" w:eastAsia="zh-CN"/>
        </w:rPr>
        <w:t>(应</w:t>
      </w:r>
      <w:r>
        <w:rPr>
          <w:rFonts w:hint="eastAsia" w:ascii="宋体" w:hAnsi="宋体" w:eastAsia="宋体" w:cs="宋体"/>
          <w:color w:val="000000"/>
          <w:kern w:val="0"/>
          <w:sz w:val="24"/>
          <w:szCs w:val="24"/>
          <w:u w:val="none"/>
          <w:lang w:val="en-US" w:eastAsia="zh-CN" w:bidi="ar"/>
        </w:rPr>
        <w:t>包含校企共建、实践性课程</w:t>
      </w:r>
      <w:r>
        <w:rPr>
          <w:rFonts w:hint="eastAsia" w:ascii="宋体" w:hAnsi="宋体" w:eastAsia="宋体" w:cs="宋体"/>
          <w:color w:val="000000"/>
          <w:kern w:val="0"/>
          <w:sz w:val="24"/>
          <w:szCs w:val="24"/>
          <w:u w:val="none"/>
          <w:lang w:val="en-US" w:eastAsia="zh-CN" w:bidi="ar"/>
        </w:rPr>
        <w:t>）</w:t>
      </w:r>
      <w:r>
        <w:rPr>
          <w:rFonts w:hint="eastAsia" w:ascii="宋体" w:hAnsi="宋体" w:eastAsia="宋体" w:cs="宋体"/>
          <w:color w:val="000000"/>
          <w:kern w:val="0"/>
          <w:sz w:val="24"/>
          <w:szCs w:val="24"/>
          <w:lang w:val="en-US" w:eastAsia="zh-CN"/>
        </w:rPr>
        <w:t>和公共选修课程</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其中，专业技术课程含</w:t>
      </w:r>
      <w:r>
        <w:rPr>
          <w:rFonts w:hint="eastAsia" w:ascii="宋体" w:hAnsi="宋体" w:eastAsia="宋体" w:cs="宋体"/>
          <w:color w:val="000000"/>
          <w:kern w:val="0"/>
          <w:sz w:val="24"/>
          <w:szCs w:val="24"/>
          <w:lang w:val="en-US" w:eastAsia="zh-CN" w:bidi="ar"/>
        </w:rPr>
        <w:t>特色课程（6学分），是指导师（组）依据学生培养、研究项目需求制定教学内容/学习任务的课程，制定个性化学习目标、任务、考核方式，</w:t>
      </w:r>
      <w:r>
        <w:rPr>
          <w:rFonts w:hint="eastAsia" w:ascii="宋体" w:hAnsi="宋体" w:eastAsia="宋体" w:cs="宋体"/>
          <w:color w:val="000000"/>
          <w:kern w:val="0"/>
          <w:sz w:val="24"/>
          <w:szCs w:val="24"/>
          <w:highlight w:val="none"/>
          <w:lang w:val="en-US" w:eastAsia="zh-CN" w:bidi="ar"/>
        </w:rPr>
        <w:t>增加人工智能赋能学科发展内容。</w:t>
      </w:r>
      <w:r>
        <w:rPr>
          <w:rFonts w:hint="eastAsia" w:ascii="宋体" w:hAnsi="宋体" w:eastAsia="宋体" w:cs="宋体"/>
          <w:color w:val="000000"/>
          <w:kern w:val="0"/>
          <w:sz w:val="24"/>
          <w:szCs w:val="24"/>
          <w:lang w:val="en-US" w:eastAsia="zh-CN" w:bidi="ar"/>
        </w:rPr>
        <w:t>具体课程名称及学分，由学院根据本专业确定；公共选修课，包含思哲类、交叉类、实创类、外语类、经管类、人文素养类、体育健身类等，体现“五育并举”。</w:t>
      </w:r>
    </w:p>
    <w:p w14:paraId="4B61599D">
      <w:pPr>
        <w:spacing w:line="360" w:lineRule="auto"/>
        <w:jc w:val="center"/>
        <w:rPr>
          <w:rFonts w:hint="eastAsia" w:ascii="黑体" w:hAnsi="黑体" w:eastAsia="黑体"/>
          <w:sz w:val="24"/>
        </w:rPr>
      </w:pPr>
      <w:r>
        <w:rPr>
          <w:rFonts w:hint="eastAsia" w:ascii="黑体" w:hAnsi="黑体" w:eastAsia="黑体"/>
          <w:sz w:val="24"/>
        </w:rPr>
        <w:t>**</w:t>
      </w:r>
      <w:r>
        <w:rPr>
          <w:rFonts w:hint="eastAsia" w:ascii="黑体" w:hAnsi="黑体" w:eastAsia="黑体"/>
          <w:sz w:val="24"/>
          <w:lang w:val="en-US" w:eastAsia="zh-CN"/>
        </w:rPr>
        <w:t>专业学位硕士</w:t>
      </w:r>
      <w:r>
        <w:rPr>
          <w:rFonts w:hint="eastAsia" w:ascii="黑体" w:hAnsi="黑体" w:eastAsia="黑体"/>
          <w:sz w:val="24"/>
        </w:rPr>
        <w:t>研究生课程及学分设置</w:t>
      </w:r>
    </w:p>
    <w:tbl>
      <w:tblPr>
        <w:tblStyle w:val="5"/>
        <w:tblW w:w="8304" w:type="dxa"/>
        <w:tblInd w:w="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16"/>
        <w:gridCol w:w="1134"/>
        <w:gridCol w:w="3686"/>
        <w:gridCol w:w="708"/>
        <w:gridCol w:w="709"/>
        <w:gridCol w:w="851"/>
      </w:tblGrid>
      <w:tr w14:paraId="407BD8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216" w:type="dxa"/>
            <w:noWrap w:val="0"/>
            <w:vAlign w:val="center"/>
          </w:tcPr>
          <w:p w14:paraId="5E8291E0">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课程类别</w:t>
            </w:r>
          </w:p>
          <w:p w14:paraId="50ED900D">
            <w:pPr>
              <w:pStyle w:val="8"/>
              <w:spacing w:line="240" w:lineRule="auto"/>
              <w:rPr>
                <w:rFonts w:hint="default" w:ascii="Times New Roman" w:hAnsi="Times New Roman" w:cs="Times New Roman"/>
                <w:sz w:val="18"/>
                <w:szCs w:val="18"/>
              </w:rPr>
            </w:pPr>
            <w:r>
              <w:rPr>
                <w:rFonts w:hint="default" w:ascii="Times New Roman" w:hAnsi="Times New Roman" w:cs="Times New Roman"/>
              </w:rPr>
              <w:t>≥32学分</w:t>
            </w:r>
          </w:p>
        </w:tc>
        <w:tc>
          <w:tcPr>
            <w:tcW w:w="1134" w:type="dxa"/>
            <w:noWrap w:val="0"/>
            <w:vAlign w:val="center"/>
          </w:tcPr>
          <w:p w14:paraId="13AB1F83">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课程编号</w:t>
            </w:r>
          </w:p>
        </w:tc>
        <w:tc>
          <w:tcPr>
            <w:tcW w:w="3686" w:type="dxa"/>
            <w:noWrap w:val="0"/>
            <w:vAlign w:val="center"/>
          </w:tcPr>
          <w:p w14:paraId="3C372E6A">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课程名称（中英文）</w:t>
            </w:r>
          </w:p>
        </w:tc>
        <w:tc>
          <w:tcPr>
            <w:tcW w:w="708" w:type="dxa"/>
            <w:noWrap w:val="0"/>
            <w:vAlign w:val="center"/>
          </w:tcPr>
          <w:p w14:paraId="705B5CA9">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学分</w:t>
            </w:r>
          </w:p>
        </w:tc>
        <w:tc>
          <w:tcPr>
            <w:tcW w:w="709" w:type="dxa"/>
            <w:noWrap w:val="0"/>
            <w:vAlign w:val="center"/>
          </w:tcPr>
          <w:p w14:paraId="072B4BAC">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学期</w:t>
            </w:r>
          </w:p>
        </w:tc>
        <w:tc>
          <w:tcPr>
            <w:tcW w:w="851" w:type="dxa"/>
            <w:noWrap w:val="0"/>
            <w:vAlign w:val="center"/>
          </w:tcPr>
          <w:p w14:paraId="14970B6F">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备注</w:t>
            </w:r>
          </w:p>
        </w:tc>
      </w:tr>
      <w:tr w14:paraId="720F8C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216" w:type="dxa"/>
            <w:vMerge w:val="restart"/>
            <w:noWrap w:val="0"/>
            <w:vAlign w:val="center"/>
          </w:tcPr>
          <w:p w14:paraId="713134A2">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公共必修</w:t>
            </w:r>
          </w:p>
          <w:p w14:paraId="18F12DD9">
            <w:pPr>
              <w:pStyle w:val="8"/>
              <w:spacing w:line="240" w:lineRule="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w:t>
            </w:r>
            <w:r>
              <w:rPr>
                <w:rFonts w:hint="eastAsia" w:cs="Times New Roman"/>
                <w:sz w:val="18"/>
                <w:szCs w:val="18"/>
                <w:lang w:val="en-US" w:eastAsia="zh-CN"/>
              </w:rPr>
              <w:t>7</w:t>
            </w:r>
            <w:r>
              <w:rPr>
                <w:rFonts w:hint="default" w:ascii="Times New Roman" w:hAnsi="Times New Roman" w:cs="Times New Roman"/>
                <w:sz w:val="18"/>
                <w:szCs w:val="18"/>
              </w:rPr>
              <w:t>学分</w:t>
            </w:r>
          </w:p>
        </w:tc>
        <w:tc>
          <w:tcPr>
            <w:tcW w:w="1134" w:type="dxa"/>
            <w:noWrap w:val="0"/>
            <w:vAlign w:val="center"/>
          </w:tcPr>
          <w:p w14:paraId="6918CAEE">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10M5001</w:t>
            </w:r>
          </w:p>
        </w:tc>
        <w:tc>
          <w:tcPr>
            <w:tcW w:w="3686" w:type="dxa"/>
            <w:noWrap w:val="0"/>
            <w:vAlign w:val="center"/>
          </w:tcPr>
          <w:p w14:paraId="04FF1581">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中国特色社会主义理论与实践研究</w:t>
            </w:r>
          </w:p>
          <w:p w14:paraId="514D563E">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Socialism with Chinese Characteristics: Theory and Practice</w:t>
            </w:r>
          </w:p>
        </w:tc>
        <w:tc>
          <w:tcPr>
            <w:tcW w:w="708" w:type="dxa"/>
            <w:noWrap w:val="0"/>
            <w:vAlign w:val="center"/>
          </w:tcPr>
          <w:p w14:paraId="43CB9BA9">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2</w:t>
            </w:r>
          </w:p>
        </w:tc>
        <w:tc>
          <w:tcPr>
            <w:tcW w:w="709" w:type="dxa"/>
            <w:noWrap w:val="0"/>
            <w:vAlign w:val="center"/>
          </w:tcPr>
          <w:p w14:paraId="09C7FEF5">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1</w:t>
            </w:r>
          </w:p>
        </w:tc>
        <w:tc>
          <w:tcPr>
            <w:tcW w:w="851" w:type="dxa"/>
            <w:noWrap w:val="0"/>
            <w:vAlign w:val="center"/>
          </w:tcPr>
          <w:p w14:paraId="5CD58D83">
            <w:pPr>
              <w:pStyle w:val="8"/>
              <w:spacing w:line="240" w:lineRule="auto"/>
              <w:jc w:val="center"/>
              <w:rPr>
                <w:rFonts w:hint="default" w:ascii="Times New Roman" w:hAnsi="Times New Roman" w:eastAsia="宋体" w:cs="Times New Roman"/>
                <w:kern w:val="2"/>
                <w:sz w:val="18"/>
                <w:szCs w:val="18"/>
                <w:lang w:val="en-US" w:eastAsia="zh-CN" w:bidi="ar-SA"/>
              </w:rPr>
            </w:pPr>
          </w:p>
        </w:tc>
      </w:tr>
      <w:tr w14:paraId="740AF1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216" w:type="dxa"/>
            <w:vMerge w:val="continue"/>
            <w:noWrap w:val="0"/>
            <w:vAlign w:val="center"/>
          </w:tcPr>
          <w:p w14:paraId="01ACA931">
            <w:pPr>
              <w:pStyle w:val="8"/>
              <w:spacing w:line="240" w:lineRule="auto"/>
              <w:rPr>
                <w:rFonts w:hint="default" w:ascii="Times New Roman" w:hAnsi="Times New Roman" w:cs="Times New Roman"/>
                <w:sz w:val="18"/>
                <w:szCs w:val="18"/>
              </w:rPr>
            </w:pPr>
          </w:p>
        </w:tc>
        <w:tc>
          <w:tcPr>
            <w:tcW w:w="1134" w:type="dxa"/>
            <w:noWrap w:val="0"/>
            <w:vAlign w:val="center"/>
          </w:tcPr>
          <w:p w14:paraId="65691225">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10M5002</w:t>
            </w:r>
          </w:p>
        </w:tc>
        <w:tc>
          <w:tcPr>
            <w:tcW w:w="3686" w:type="dxa"/>
            <w:noWrap w:val="0"/>
            <w:vAlign w:val="center"/>
          </w:tcPr>
          <w:p w14:paraId="27CD1B01">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自然辩证法概论</w:t>
            </w:r>
          </w:p>
          <w:p w14:paraId="71B1898F">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Introduction to Nature Dialectics</w:t>
            </w:r>
          </w:p>
        </w:tc>
        <w:tc>
          <w:tcPr>
            <w:tcW w:w="708" w:type="dxa"/>
            <w:noWrap w:val="0"/>
            <w:vAlign w:val="center"/>
          </w:tcPr>
          <w:p w14:paraId="4A44C2DE">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1</w:t>
            </w:r>
          </w:p>
        </w:tc>
        <w:tc>
          <w:tcPr>
            <w:tcW w:w="709" w:type="dxa"/>
            <w:noWrap w:val="0"/>
            <w:vAlign w:val="center"/>
          </w:tcPr>
          <w:p w14:paraId="062339AE">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1</w:t>
            </w:r>
          </w:p>
        </w:tc>
        <w:tc>
          <w:tcPr>
            <w:tcW w:w="851" w:type="dxa"/>
            <w:noWrap w:val="0"/>
            <w:vAlign w:val="center"/>
          </w:tcPr>
          <w:p w14:paraId="75B91C68">
            <w:pPr>
              <w:pStyle w:val="8"/>
              <w:spacing w:line="240" w:lineRule="auto"/>
              <w:rPr>
                <w:rFonts w:hint="default" w:ascii="Times New Roman" w:hAnsi="Times New Roman" w:eastAsia="宋体" w:cs="Times New Roman"/>
                <w:kern w:val="2"/>
                <w:sz w:val="18"/>
                <w:szCs w:val="18"/>
                <w:lang w:val="en-US" w:eastAsia="zh-CN" w:bidi="ar-SA"/>
              </w:rPr>
            </w:pPr>
          </w:p>
        </w:tc>
      </w:tr>
      <w:tr w14:paraId="67700A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216" w:type="dxa"/>
            <w:vMerge w:val="continue"/>
            <w:noWrap w:val="0"/>
            <w:vAlign w:val="center"/>
          </w:tcPr>
          <w:p w14:paraId="46E67033">
            <w:pPr>
              <w:pStyle w:val="8"/>
              <w:spacing w:line="240" w:lineRule="auto"/>
              <w:rPr>
                <w:rFonts w:hint="default" w:ascii="Times New Roman" w:hAnsi="Times New Roman" w:cs="Times New Roman"/>
                <w:sz w:val="18"/>
                <w:szCs w:val="18"/>
              </w:rPr>
            </w:pPr>
          </w:p>
        </w:tc>
        <w:tc>
          <w:tcPr>
            <w:tcW w:w="1134" w:type="dxa"/>
            <w:noWrap w:val="0"/>
            <w:vAlign w:val="center"/>
          </w:tcPr>
          <w:p w14:paraId="5EEA8F12">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09M5001</w:t>
            </w:r>
          </w:p>
        </w:tc>
        <w:tc>
          <w:tcPr>
            <w:tcW w:w="3686" w:type="dxa"/>
            <w:noWrap w:val="0"/>
            <w:vAlign w:val="center"/>
          </w:tcPr>
          <w:p w14:paraId="5C8A2727">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研究生综合英语</w:t>
            </w:r>
          </w:p>
          <w:p w14:paraId="57A2A85E">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Graduate Comprehensive English</w:t>
            </w:r>
          </w:p>
        </w:tc>
        <w:tc>
          <w:tcPr>
            <w:tcW w:w="708" w:type="dxa"/>
            <w:noWrap w:val="0"/>
            <w:vAlign w:val="center"/>
          </w:tcPr>
          <w:p w14:paraId="3AA630EF">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2</w:t>
            </w:r>
          </w:p>
        </w:tc>
        <w:tc>
          <w:tcPr>
            <w:tcW w:w="709" w:type="dxa"/>
            <w:noWrap w:val="0"/>
            <w:vAlign w:val="center"/>
          </w:tcPr>
          <w:p w14:paraId="5AB9E4E0">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1</w:t>
            </w:r>
          </w:p>
        </w:tc>
        <w:tc>
          <w:tcPr>
            <w:tcW w:w="851" w:type="dxa"/>
            <w:noWrap w:val="0"/>
            <w:vAlign w:val="center"/>
          </w:tcPr>
          <w:p w14:paraId="33E13FD8">
            <w:pPr>
              <w:pStyle w:val="8"/>
              <w:spacing w:line="24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color w:val="0000FF"/>
                <w:sz w:val="18"/>
                <w:szCs w:val="18"/>
                <w:lang w:val="en-US" w:eastAsia="zh-CN"/>
              </w:rPr>
              <w:t>除翻译</w:t>
            </w:r>
            <w:r>
              <w:rPr>
                <w:rFonts w:hint="eastAsia" w:ascii="Times New Roman" w:hAnsi="Times New Roman" w:cs="Times New Roman"/>
                <w:color w:val="0000FF"/>
                <w:sz w:val="18"/>
                <w:szCs w:val="18"/>
                <w:lang w:val="en-US" w:eastAsia="zh-CN"/>
              </w:rPr>
              <w:t>专业</w:t>
            </w:r>
            <w:r>
              <w:rPr>
                <w:rFonts w:hint="default" w:ascii="Times New Roman" w:hAnsi="Times New Roman" w:cs="Times New Roman"/>
                <w:color w:val="0000FF"/>
                <w:sz w:val="18"/>
                <w:szCs w:val="18"/>
                <w:lang w:val="en-US" w:eastAsia="zh-CN"/>
              </w:rPr>
              <w:t>外</w:t>
            </w:r>
          </w:p>
        </w:tc>
      </w:tr>
      <w:tr w14:paraId="74DAB5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216" w:type="dxa"/>
            <w:vMerge w:val="continue"/>
            <w:noWrap w:val="0"/>
            <w:vAlign w:val="center"/>
          </w:tcPr>
          <w:p w14:paraId="707AEA90">
            <w:pPr>
              <w:pStyle w:val="8"/>
              <w:spacing w:line="240" w:lineRule="auto"/>
              <w:rPr>
                <w:rFonts w:hint="default" w:ascii="Times New Roman" w:hAnsi="Times New Roman" w:cs="Times New Roman"/>
                <w:sz w:val="18"/>
                <w:szCs w:val="18"/>
              </w:rPr>
            </w:pPr>
          </w:p>
        </w:tc>
        <w:tc>
          <w:tcPr>
            <w:tcW w:w="1134" w:type="dxa"/>
            <w:noWrap w:val="0"/>
            <w:vAlign w:val="center"/>
          </w:tcPr>
          <w:p w14:paraId="50762E8A">
            <w:pPr>
              <w:pStyle w:val="8"/>
              <w:spacing w:line="240" w:lineRule="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10M5003</w:t>
            </w:r>
          </w:p>
        </w:tc>
        <w:tc>
          <w:tcPr>
            <w:tcW w:w="3686" w:type="dxa"/>
            <w:noWrap w:val="0"/>
            <w:vAlign w:val="center"/>
          </w:tcPr>
          <w:p w14:paraId="7407EC5B">
            <w:pPr>
              <w:pStyle w:val="8"/>
              <w:spacing w:line="240" w:lineRule="auto"/>
              <w:rPr>
                <w:rFonts w:hint="default" w:ascii="Times New Roman" w:hAnsi="Times New Roman" w:cs="Times New Roman"/>
                <w:b w:val="0"/>
                <w:bCs/>
                <w:color w:val="auto"/>
                <w:kern w:val="2"/>
                <w:sz w:val="18"/>
                <w:szCs w:val="18"/>
                <w:highlight w:val="none"/>
                <w:lang w:val="en-US" w:eastAsia="zh-CN" w:bidi="ar-SA"/>
              </w:rPr>
            </w:pPr>
            <w:r>
              <w:rPr>
                <w:rFonts w:hint="eastAsia" w:ascii="Times New Roman" w:hAnsi="Times New Roman" w:cs="Times New Roman"/>
                <w:b w:val="0"/>
                <w:bCs/>
                <w:color w:val="auto"/>
                <w:sz w:val="18"/>
                <w:szCs w:val="18"/>
                <w:highlight w:val="none"/>
                <w:lang w:val="en-US" w:eastAsia="zh-CN"/>
              </w:rPr>
              <w:t>科学道德与学术规范</w:t>
            </w:r>
          </w:p>
        </w:tc>
        <w:tc>
          <w:tcPr>
            <w:tcW w:w="708" w:type="dxa"/>
            <w:noWrap w:val="0"/>
            <w:vAlign w:val="center"/>
          </w:tcPr>
          <w:p w14:paraId="774A9CB8">
            <w:pPr>
              <w:pStyle w:val="8"/>
              <w:spacing w:line="240" w:lineRule="auto"/>
              <w:rPr>
                <w:rFonts w:hint="default" w:ascii="Times New Roman" w:hAnsi="Times New Roman" w:cs="Times New Roman"/>
                <w:b w:val="0"/>
                <w:bCs/>
                <w:color w:val="auto"/>
                <w:kern w:val="2"/>
                <w:sz w:val="18"/>
                <w:szCs w:val="18"/>
                <w:highlight w:val="none"/>
                <w:lang w:val="en-US" w:eastAsia="zh-CN" w:bidi="ar-SA"/>
              </w:rPr>
            </w:pPr>
            <w:r>
              <w:rPr>
                <w:rFonts w:hint="default" w:ascii="Times New Roman" w:hAnsi="Times New Roman" w:cs="Times New Roman"/>
                <w:b w:val="0"/>
                <w:bCs/>
                <w:color w:val="auto"/>
                <w:sz w:val="18"/>
                <w:szCs w:val="18"/>
                <w:highlight w:val="none"/>
              </w:rPr>
              <w:t>1</w:t>
            </w:r>
          </w:p>
        </w:tc>
        <w:tc>
          <w:tcPr>
            <w:tcW w:w="709" w:type="dxa"/>
            <w:noWrap w:val="0"/>
            <w:vAlign w:val="center"/>
          </w:tcPr>
          <w:p w14:paraId="50DF215B">
            <w:pPr>
              <w:pStyle w:val="8"/>
              <w:spacing w:line="240" w:lineRule="auto"/>
              <w:rPr>
                <w:rFonts w:hint="default" w:ascii="Times New Roman" w:hAnsi="Times New Roman" w:cs="Times New Roman"/>
                <w:b w:val="0"/>
                <w:bCs/>
                <w:color w:val="auto"/>
                <w:kern w:val="2"/>
                <w:sz w:val="18"/>
                <w:szCs w:val="18"/>
                <w:highlight w:val="none"/>
                <w:lang w:val="en-US" w:eastAsia="zh-CN" w:bidi="ar-SA"/>
              </w:rPr>
            </w:pPr>
            <w:r>
              <w:rPr>
                <w:rFonts w:hint="default" w:ascii="Times New Roman" w:hAnsi="Times New Roman" w:cs="Times New Roman"/>
                <w:b w:val="0"/>
                <w:bCs/>
                <w:color w:val="auto"/>
                <w:sz w:val="18"/>
                <w:szCs w:val="18"/>
                <w:highlight w:val="none"/>
              </w:rPr>
              <w:t>1</w:t>
            </w:r>
          </w:p>
        </w:tc>
        <w:tc>
          <w:tcPr>
            <w:tcW w:w="851" w:type="dxa"/>
            <w:noWrap w:val="0"/>
            <w:vAlign w:val="center"/>
          </w:tcPr>
          <w:p w14:paraId="6A1A48BA">
            <w:pPr>
              <w:pStyle w:val="8"/>
              <w:spacing w:line="240" w:lineRule="auto"/>
              <w:rPr>
                <w:rFonts w:hint="default" w:ascii="Times New Roman" w:hAnsi="Times New Roman" w:eastAsia="宋体" w:cs="Times New Roman"/>
                <w:b w:val="0"/>
                <w:bCs/>
                <w:color w:val="auto"/>
                <w:kern w:val="2"/>
                <w:sz w:val="18"/>
                <w:szCs w:val="18"/>
                <w:highlight w:val="none"/>
                <w:lang w:val="en-US" w:eastAsia="zh-CN" w:bidi="ar-SA"/>
              </w:rPr>
            </w:pPr>
            <w:r>
              <w:rPr>
                <w:rFonts w:hint="eastAsia" w:ascii="Times New Roman" w:hAnsi="Times New Roman" w:eastAsia="宋体" w:cs="Times New Roman"/>
                <w:b w:val="0"/>
                <w:bCs/>
                <w:color w:val="auto"/>
                <w:kern w:val="2"/>
                <w:sz w:val="18"/>
                <w:szCs w:val="18"/>
                <w:highlight w:val="none"/>
                <w:lang w:val="en-US" w:eastAsia="zh-CN" w:bidi="ar-SA"/>
              </w:rPr>
              <w:t>1学分</w:t>
            </w:r>
          </w:p>
        </w:tc>
      </w:tr>
      <w:tr w14:paraId="609D3F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216" w:type="dxa"/>
            <w:vMerge w:val="continue"/>
            <w:noWrap w:val="0"/>
            <w:vAlign w:val="center"/>
          </w:tcPr>
          <w:p w14:paraId="70F90F49">
            <w:pPr>
              <w:pStyle w:val="8"/>
              <w:spacing w:line="240" w:lineRule="auto"/>
              <w:rPr>
                <w:rFonts w:hint="default" w:ascii="Times New Roman" w:hAnsi="Times New Roman" w:cs="Times New Roman"/>
                <w:sz w:val="18"/>
                <w:szCs w:val="18"/>
              </w:rPr>
            </w:pPr>
          </w:p>
        </w:tc>
        <w:tc>
          <w:tcPr>
            <w:tcW w:w="1134" w:type="dxa"/>
            <w:noWrap w:val="0"/>
            <w:vAlign w:val="center"/>
          </w:tcPr>
          <w:p w14:paraId="7EB57689">
            <w:pPr>
              <w:pStyle w:val="8"/>
              <w:spacing w:line="24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color w:val="auto"/>
                <w:sz w:val="18"/>
                <w:szCs w:val="18"/>
                <w:highlight w:val="none"/>
              </w:rPr>
              <w:t>10M5004</w:t>
            </w:r>
          </w:p>
        </w:tc>
        <w:tc>
          <w:tcPr>
            <w:tcW w:w="3686" w:type="dxa"/>
            <w:noWrap w:val="0"/>
            <w:vAlign w:val="center"/>
          </w:tcPr>
          <w:p w14:paraId="7024763E">
            <w:pPr>
              <w:pStyle w:val="8"/>
              <w:spacing w:line="24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工程伦理</w:t>
            </w:r>
          </w:p>
          <w:p w14:paraId="1E2CFA61">
            <w:pPr>
              <w:pStyle w:val="8"/>
              <w:spacing w:line="240" w:lineRule="auto"/>
              <w:rPr>
                <w:rFonts w:hint="default" w:ascii="Times New Roman" w:hAnsi="Times New Roman" w:cs="Times New Roman"/>
                <w:kern w:val="2"/>
                <w:sz w:val="21"/>
                <w:szCs w:val="21"/>
                <w:lang w:val="en-US" w:eastAsia="zh-CN" w:bidi="ar-SA"/>
              </w:rPr>
            </w:pPr>
            <w:r>
              <w:rPr>
                <w:rFonts w:hint="default" w:ascii="Times New Roman" w:hAnsi="Times New Roman" w:eastAsia="宋体" w:cs="Times New Roman"/>
                <w:sz w:val="18"/>
                <w:szCs w:val="18"/>
              </w:rPr>
              <w:t>Engineering Ethics</w:t>
            </w:r>
          </w:p>
        </w:tc>
        <w:tc>
          <w:tcPr>
            <w:tcW w:w="708" w:type="dxa"/>
            <w:noWrap w:val="0"/>
            <w:vAlign w:val="center"/>
          </w:tcPr>
          <w:p w14:paraId="456F25AC">
            <w:pPr>
              <w:pStyle w:val="8"/>
              <w:spacing w:line="24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w:t>
            </w:r>
          </w:p>
        </w:tc>
        <w:tc>
          <w:tcPr>
            <w:tcW w:w="709" w:type="dxa"/>
            <w:noWrap w:val="0"/>
            <w:vAlign w:val="center"/>
          </w:tcPr>
          <w:p w14:paraId="6A59AF98">
            <w:pPr>
              <w:pStyle w:val="8"/>
              <w:spacing w:line="24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w:t>
            </w:r>
          </w:p>
        </w:tc>
        <w:tc>
          <w:tcPr>
            <w:tcW w:w="851" w:type="dxa"/>
            <w:noWrap w:val="0"/>
            <w:vAlign w:val="center"/>
          </w:tcPr>
          <w:p w14:paraId="0924D960">
            <w:pPr>
              <w:pStyle w:val="8"/>
              <w:spacing w:line="240" w:lineRule="auto"/>
              <w:rPr>
                <w:rFonts w:hint="default" w:ascii="Times New Roman" w:hAnsi="Times New Roman" w:eastAsia="宋体" w:cs="Times New Roman"/>
                <w:color w:val="0000FF"/>
                <w:kern w:val="2"/>
                <w:sz w:val="18"/>
                <w:szCs w:val="18"/>
                <w:lang w:val="en-US" w:eastAsia="zh-CN" w:bidi="ar-SA"/>
              </w:rPr>
            </w:pPr>
            <w:r>
              <w:rPr>
                <w:rFonts w:hint="default" w:ascii="Times New Roman" w:hAnsi="Times New Roman" w:cs="Times New Roman"/>
                <w:color w:val="0000FF"/>
                <w:sz w:val="18"/>
                <w:szCs w:val="18"/>
                <w:lang w:val="en-US" w:eastAsia="zh-CN"/>
              </w:rPr>
              <w:t>工程类专硕</w:t>
            </w:r>
          </w:p>
        </w:tc>
      </w:tr>
      <w:tr w14:paraId="52EB75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216" w:type="dxa"/>
            <w:vMerge w:val="continue"/>
            <w:noWrap w:val="0"/>
            <w:vAlign w:val="center"/>
          </w:tcPr>
          <w:p w14:paraId="55E01C91">
            <w:pPr>
              <w:pStyle w:val="8"/>
              <w:spacing w:line="240" w:lineRule="auto"/>
              <w:rPr>
                <w:rFonts w:hint="default" w:ascii="Times New Roman" w:hAnsi="Times New Roman" w:cs="Times New Roman"/>
                <w:sz w:val="18"/>
                <w:szCs w:val="18"/>
              </w:rPr>
            </w:pPr>
          </w:p>
        </w:tc>
        <w:tc>
          <w:tcPr>
            <w:tcW w:w="1134" w:type="dxa"/>
            <w:noWrap w:val="0"/>
            <w:vAlign w:val="center"/>
          </w:tcPr>
          <w:p w14:paraId="22F809C2">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12M5003</w:t>
            </w:r>
          </w:p>
        </w:tc>
        <w:tc>
          <w:tcPr>
            <w:tcW w:w="3686" w:type="dxa"/>
            <w:noWrap w:val="0"/>
            <w:vAlign w:val="center"/>
          </w:tcPr>
          <w:p w14:paraId="691DE1CB">
            <w:pPr>
              <w:keepNext w:val="0"/>
              <w:keepLines w:val="0"/>
              <w:suppressLineNumbers w:val="0"/>
              <w:spacing w:before="0" w:beforeAutospacing="0" w:after="0" w:afterAutospacing="0" w:line="240" w:lineRule="auto"/>
              <w:ind w:left="0" w:right="0" w:firstLine="42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中国语言文化</w:t>
            </w:r>
          </w:p>
          <w:p w14:paraId="0DEB4DBD">
            <w:pPr>
              <w:keepNext w:val="0"/>
              <w:keepLines w:val="0"/>
              <w:suppressLineNumbers w:val="0"/>
              <w:spacing w:before="0" w:beforeAutospacing="0" w:after="0" w:afterAutospacing="0" w:line="240" w:lineRule="auto"/>
              <w:ind w:left="0" w:leftChars="0" w:right="0" w:rightChars="0" w:firstLine="420" w:firstLineChars="0"/>
              <w:jc w:val="center"/>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Chinese Language and Culture</w:t>
            </w:r>
          </w:p>
        </w:tc>
        <w:tc>
          <w:tcPr>
            <w:tcW w:w="708" w:type="dxa"/>
            <w:noWrap w:val="0"/>
            <w:vAlign w:val="center"/>
          </w:tcPr>
          <w:p w14:paraId="16D609F0">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3</w:t>
            </w:r>
          </w:p>
        </w:tc>
        <w:tc>
          <w:tcPr>
            <w:tcW w:w="709" w:type="dxa"/>
            <w:noWrap w:val="0"/>
            <w:vAlign w:val="center"/>
          </w:tcPr>
          <w:p w14:paraId="62EA8FD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1</w:t>
            </w:r>
          </w:p>
        </w:tc>
        <w:tc>
          <w:tcPr>
            <w:tcW w:w="851" w:type="dxa"/>
            <w:noWrap w:val="0"/>
            <w:vAlign w:val="center"/>
          </w:tcPr>
          <w:p w14:paraId="46B43209">
            <w:pPr>
              <w:pStyle w:val="8"/>
              <w:spacing w:line="240" w:lineRule="auto"/>
              <w:rPr>
                <w:rFonts w:hint="default" w:ascii="Times New Roman" w:hAnsi="Times New Roman" w:cs="Times New Roman"/>
                <w:color w:val="0000FF"/>
                <w:kern w:val="2"/>
                <w:sz w:val="18"/>
                <w:szCs w:val="18"/>
                <w:lang w:val="en-US" w:eastAsia="zh-CN" w:bidi="ar-SA"/>
              </w:rPr>
            </w:pPr>
            <w:r>
              <w:rPr>
                <w:rFonts w:hint="default" w:ascii="Times New Roman" w:hAnsi="Times New Roman" w:cs="Times New Roman"/>
                <w:color w:val="0000FF"/>
                <w:sz w:val="18"/>
                <w:szCs w:val="18"/>
                <w:lang w:val="en-US" w:eastAsia="zh-CN"/>
              </w:rPr>
              <w:t>翻译专硕</w:t>
            </w:r>
          </w:p>
        </w:tc>
      </w:tr>
      <w:tr w14:paraId="391209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216" w:type="dxa"/>
            <w:vMerge w:val="restart"/>
            <w:noWrap w:val="0"/>
            <w:vAlign w:val="center"/>
          </w:tcPr>
          <w:p w14:paraId="339B8FB7">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专业基础</w:t>
            </w:r>
          </w:p>
          <w:p w14:paraId="72AFE635">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w:t>
            </w:r>
            <w:r>
              <w:rPr>
                <w:rFonts w:hint="eastAsia" w:cs="Times New Roman"/>
                <w:sz w:val="18"/>
                <w:szCs w:val="18"/>
                <w:lang w:val="en-US" w:eastAsia="zh-CN"/>
              </w:rPr>
              <w:t>8</w:t>
            </w:r>
            <w:r>
              <w:rPr>
                <w:rFonts w:hint="default" w:ascii="Times New Roman" w:hAnsi="Times New Roman" w:cs="Times New Roman"/>
                <w:sz w:val="18"/>
                <w:szCs w:val="18"/>
              </w:rPr>
              <w:t>学分</w:t>
            </w:r>
          </w:p>
        </w:tc>
        <w:tc>
          <w:tcPr>
            <w:tcW w:w="1134" w:type="dxa"/>
            <w:noWrap w:val="0"/>
            <w:vAlign w:val="center"/>
          </w:tcPr>
          <w:p w14:paraId="3E4260BC">
            <w:pPr>
              <w:pStyle w:val="8"/>
              <w:spacing w:line="240" w:lineRule="auto"/>
              <w:rPr>
                <w:rFonts w:hint="default" w:ascii="Times New Roman" w:hAnsi="Times New Roman" w:cs="Times New Roman"/>
                <w:sz w:val="18"/>
                <w:szCs w:val="18"/>
              </w:rPr>
            </w:pPr>
          </w:p>
        </w:tc>
        <w:tc>
          <w:tcPr>
            <w:tcW w:w="3686" w:type="dxa"/>
            <w:noWrap w:val="0"/>
            <w:vAlign w:val="center"/>
          </w:tcPr>
          <w:p w14:paraId="4E958CAE">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数学类课程</w:t>
            </w:r>
          </w:p>
        </w:tc>
        <w:tc>
          <w:tcPr>
            <w:tcW w:w="708" w:type="dxa"/>
            <w:noWrap w:val="0"/>
            <w:vAlign w:val="center"/>
          </w:tcPr>
          <w:p w14:paraId="1AD5E8E8">
            <w:pPr>
              <w:pStyle w:val="8"/>
              <w:spacing w:line="240" w:lineRule="auto"/>
              <w:rPr>
                <w:rFonts w:hint="default" w:ascii="Times New Roman" w:hAnsi="Times New Roman" w:cs="Times New Roman"/>
                <w:sz w:val="18"/>
                <w:szCs w:val="18"/>
              </w:rPr>
            </w:pPr>
          </w:p>
        </w:tc>
        <w:tc>
          <w:tcPr>
            <w:tcW w:w="709" w:type="dxa"/>
            <w:noWrap w:val="0"/>
            <w:vAlign w:val="center"/>
          </w:tcPr>
          <w:p w14:paraId="2D7A7825">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1" w:type="dxa"/>
            <w:noWrap w:val="0"/>
            <w:vAlign w:val="center"/>
          </w:tcPr>
          <w:p w14:paraId="509B21AF">
            <w:pPr>
              <w:pStyle w:val="8"/>
              <w:spacing w:line="240" w:lineRule="auto"/>
              <w:rPr>
                <w:rFonts w:hint="default" w:ascii="Times New Roman" w:hAnsi="Times New Roman" w:cs="Times New Roman"/>
                <w:sz w:val="18"/>
                <w:szCs w:val="18"/>
              </w:rPr>
            </w:pPr>
          </w:p>
        </w:tc>
      </w:tr>
      <w:tr w14:paraId="40ACB4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1216" w:type="dxa"/>
            <w:vMerge w:val="continue"/>
            <w:noWrap w:val="0"/>
            <w:vAlign w:val="center"/>
          </w:tcPr>
          <w:p w14:paraId="396683AD">
            <w:pPr>
              <w:pStyle w:val="8"/>
              <w:spacing w:line="240" w:lineRule="auto"/>
              <w:rPr>
                <w:rFonts w:hint="default" w:ascii="Times New Roman" w:hAnsi="Times New Roman" w:cs="Times New Roman"/>
                <w:sz w:val="18"/>
                <w:szCs w:val="18"/>
              </w:rPr>
            </w:pPr>
          </w:p>
        </w:tc>
        <w:tc>
          <w:tcPr>
            <w:tcW w:w="1134" w:type="dxa"/>
            <w:noWrap w:val="0"/>
            <w:vAlign w:val="center"/>
          </w:tcPr>
          <w:p w14:paraId="48F21840">
            <w:pPr>
              <w:pStyle w:val="8"/>
              <w:spacing w:line="240" w:lineRule="auto"/>
              <w:rPr>
                <w:rFonts w:hint="default" w:ascii="Times New Roman" w:hAnsi="Times New Roman" w:cs="Times New Roman"/>
                <w:sz w:val="18"/>
                <w:szCs w:val="18"/>
              </w:rPr>
            </w:pPr>
          </w:p>
        </w:tc>
        <w:tc>
          <w:tcPr>
            <w:tcW w:w="3686" w:type="dxa"/>
            <w:noWrap w:val="0"/>
            <w:vAlign w:val="center"/>
          </w:tcPr>
          <w:p w14:paraId="723C8D3C">
            <w:pPr>
              <w:pStyle w:val="8"/>
              <w:spacing w:line="240" w:lineRule="auto"/>
              <w:rPr>
                <w:rFonts w:hint="default" w:ascii="Times New Roman" w:hAnsi="Times New Roman" w:cs="Times New Roman"/>
                <w:color w:val="FF0000"/>
                <w:sz w:val="18"/>
                <w:szCs w:val="18"/>
              </w:rPr>
            </w:pPr>
            <w:r>
              <w:rPr>
                <w:rFonts w:hint="default" w:ascii="Times New Roman" w:hAnsi="Times New Roman" w:cs="Times New Roman"/>
                <w:sz w:val="18"/>
                <w:szCs w:val="18"/>
              </w:rPr>
              <w:t>一级学科专业课</w:t>
            </w:r>
            <w:r>
              <w:rPr>
                <w:rFonts w:hint="default" w:ascii="Times New Roman" w:hAnsi="Times New Roman" w:cs="Times New Roman"/>
                <w:b w:val="0"/>
                <w:bCs w:val="0"/>
                <w:color w:val="auto"/>
                <w:sz w:val="18"/>
                <w:szCs w:val="18"/>
                <w:highlight w:val="none"/>
              </w:rPr>
              <w:t>（请标明核心课程）</w:t>
            </w:r>
          </w:p>
        </w:tc>
        <w:tc>
          <w:tcPr>
            <w:tcW w:w="708" w:type="dxa"/>
            <w:noWrap w:val="0"/>
            <w:vAlign w:val="center"/>
          </w:tcPr>
          <w:p w14:paraId="20F2E3BB">
            <w:pPr>
              <w:pStyle w:val="8"/>
              <w:spacing w:line="240" w:lineRule="auto"/>
              <w:rPr>
                <w:rFonts w:hint="default" w:ascii="Times New Roman" w:hAnsi="Times New Roman" w:cs="Times New Roman"/>
                <w:sz w:val="18"/>
                <w:szCs w:val="18"/>
              </w:rPr>
            </w:pPr>
          </w:p>
        </w:tc>
        <w:tc>
          <w:tcPr>
            <w:tcW w:w="709" w:type="dxa"/>
            <w:noWrap w:val="0"/>
            <w:vAlign w:val="center"/>
          </w:tcPr>
          <w:p w14:paraId="486367C5">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1" w:type="dxa"/>
            <w:noWrap w:val="0"/>
            <w:vAlign w:val="center"/>
          </w:tcPr>
          <w:p w14:paraId="39B4E7CF">
            <w:pPr>
              <w:pStyle w:val="8"/>
              <w:spacing w:line="240" w:lineRule="auto"/>
              <w:rPr>
                <w:rFonts w:hint="default" w:ascii="Times New Roman" w:hAnsi="Times New Roman" w:cs="Times New Roman"/>
                <w:sz w:val="18"/>
                <w:szCs w:val="18"/>
              </w:rPr>
            </w:pPr>
          </w:p>
        </w:tc>
      </w:tr>
      <w:tr w14:paraId="584514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1216" w:type="dxa"/>
            <w:vMerge w:val="continue"/>
            <w:noWrap w:val="0"/>
            <w:vAlign w:val="center"/>
          </w:tcPr>
          <w:p w14:paraId="432B1002">
            <w:pPr>
              <w:pStyle w:val="8"/>
              <w:spacing w:line="240" w:lineRule="auto"/>
              <w:rPr>
                <w:rFonts w:hint="default" w:ascii="Times New Roman" w:hAnsi="Times New Roman" w:cs="Times New Roman"/>
                <w:sz w:val="18"/>
                <w:szCs w:val="18"/>
              </w:rPr>
            </w:pPr>
          </w:p>
        </w:tc>
        <w:tc>
          <w:tcPr>
            <w:tcW w:w="1134" w:type="dxa"/>
            <w:noWrap w:val="0"/>
            <w:vAlign w:val="center"/>
          </w:tcPr>
          <w:p w14:paraId="14703D42">
            <w:pPr>
              <w:pStyle w:val="8"/>
              <w:spacing w:line="240" w:lineRule="auto"/>
              <w:rPr>
                <w:rFonts w:hint="default" w:ascii="Times New Roman" w:hAnsi="Times New Roman" w:cs="Times New Roman"/>
                <w:sz w:val="18"/>
                <w:szCs w:val="18"/>
              </w:rPr>
            </w:pPr>
          </w:p>
        </w:tc>
        <w:tc>
          <w:tcPr>
            <w:tcW w:w="3686" w:type="dxa"/>
            <w:noWrap w:val="0"/>
            <w:vAlign w:val="center"/>
          </w:tcPr>
          <w:p w14:paraId="358781BB">
            <w:pPr>
              <w:pStyle w:val="8"/>
              <w:spacing w:line="240" w:lineRule="auto"/>
              <w:rPr>
                <w:rFonts w:hint="default" w:ascii="Times New Roman" w:hAnsi="Times New Roman" w:cs="Times New Roman"/>
                <w:b/>
                <w:bCs/>
                <w:color w:val="FF0000"/>
                <w:sz w:val="18"/>
                <w:szCs w:val="18"/>
                <w:highlight w:val="yellow"/>
                <w:lang w:val="en-US" w:eastAsia="zh-CN"/>
              </w:rPr>
            </w:pPr>
            <w:r>
              <w:rPr>
                <w:rFonts w:hint="eastAsia" w:ascii="Times New Roman" w:hAnsi="Times New Roman" w:cs="Times New Roman"/>
                <w:b/>
                <w:bCs/>
                <w:color w:val="FF0000"/>
                <w:sz w:val="18"/>
                <w:szCs w:val="18"/>
                <w:highlight w:val="yellow"/>
                <w:lang w:val="en-US" w:eastAsia="zh-CN"/>
              </w:rPr>
              <w:t>A</w:t>
            </w:r>
            <w:r>
              <w:rPr>
                <w:rFonts w:hint="eastAsia" w:cs="Times New Roman"/>
                <w:b/>
                <w:bCs/>
                <w:color w:val="FF0000"/>
                <w:sz w:val="18"/>
                <w:szCs w:val="18"/>
                <w:highlight w:val="yellow"/>
                <w:lang w:val="en-US" w:eastAsia="zh-CN"/>
              </w:rPr>
              <w:t>I类课程</w:t>
            </w:r>
          </w:p>
        </w:tc>
        <w:tc>
          <w:tcPr>
            <w:tcW w:w="708" w:type="dxa"/>
            <w:noWrap w:val="0"/>
            <w:vAlign w:val="center"/>
          </w:tcPr>
          <w:p w14:paraId="0FA0E3B1">
            <w:pPr>
              <w:pStyle w:val="8"/>
              <w:spacing w:line="240" w:lineRule="auto"/>
              <w:rPr>
                <w:rFonts w:hint="default" w:ascii="Times New Roman" w:hAnsi="Times New Roman" w:cs="Times New Roman"/>
                <w:b/>
                <w:bCs/>
                <w:color w:val="FF0000"/>
                <w:sz w:val="18"/>
                <w:szCs w:val="18"/>
                <w:highlight w:val="yellow"/>
              </w:rPr>
            </w:pPr>
          </w:p>
        </w:tc>
        <w:tc>
          <w:tcPr>
            <w:tcW w:w="709" w:type="dxa"/>
            <w:noWrap w:val="0"/>
            <w:vAlign w:val="center"/>
          </w:tcPr>
          <w:p w14:paraId="034C8B67">
            <w:pPr>
              <w:pStyle w:val="8"/>
              <w:spacing w:line="240" w:lineRule="auto"/>
              <w:rPr>
                <w:rFonts w:hint="default" w:ascii="Times New Roman" w:hAnsi="Times New Roman" w:cs="Times New Roman"/>
                <w:b/>
                <w:bCs/>
                <w:color w:val="FF0000"/>
                <w:sz w:val="18"/>
                <w:szCs w:val="18"/>
                <w:highlight w:val="yellow"/>
              </w:rPr>
            </w:pPr>
            <w:r>
              <w:rPr>
                <w:rFonts w:hint="default" w:ascii="Times New Roman" w:hAnsi="Times New Roman" w:cs="Times New Roman"/>
                <w:b/>
                <w:bCs/>
                <w:color w:val="FF0000"/>
                <w:sz w:val="18"/>
                <w:szCs w:val="18"/>
                <w:highlight w:val="yellow"/>
              </w:rPr>
              <w:t>1</w:t>
            </w:r>
          </w:p>
        </w:tc>
        <w:tc>
          <w:tcPr>
            <w:tcW w:w="851" w:type="dxa"/>
            <w:noWrap w:val="0"/>
            <w:vAlign w:val="center"/>
          </w:tcPr>
          <w:p w14:paraId="10A2393A">
            <w:pPr>
              <w:pStyle w:val="8"/>
              <w:spacing w:line="240" w:lineRule="auto"/>
              <w:rPr>
                <w:rFonts w:hint="default" w:ascii="Times New Roman" w:hAnsi="Times New Roman" w:eastAsia="宋体" w:cs="Times New Roman"/>
                <w:b/>
                <w:bCs/>
                <w:color w:val="FF0000"/>
                <w:sz w:val="18"/>
                <w:szCs w:val="18"/>
                <w:highlight w:val="yellow"/>
                <w:lang w:val="en-US" w:eastAsia="zh-CN"/>
              </w:rPr>
            </w:pPr>
            <w:r>
              <w:rPr>
                <w:rFonts w:hint="eastAsia" w:cs="Times New Roman"/>
                <w:b/>
                <w:bCs/>
                <w:color w:val="FF0000"/>
                <w:sz w:val="18"/>
                <w:szCs w:val="18"/>
                <w:highlight w:val="yellow"/>
                <w:lang w:val="en-US" w:eastAsia="zh-CN"/>
              </w:rPr>
              <w:t>必选</w:t>
            </w:r>
          </w:p>
        </w:tc>
      </w:tr>
      <w:tr w14:paraId="7A3B64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 w:hRule="atLeast"/>
        </w:trPr>
        <w:tc>
          <w:tcPr>
            <w:tcW w:w="1216" w:type="dxa"/>
            <w:noWrap w:val="0"/>
            <w:vAlign w:val="center"/>
          </w:tcPr>
          <w:p w14:paraId="0EE5D90D">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专业技术</w:t>
            </w:r>
          </w:p>
          <w:p w14:paraId="4E8F970A">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学分</w:t>
            </w:r>
          </w:p>
        </w:tc>
        <w:tc>
          <w:tcPr>
            <w:tcW w:w="1134" w:type="dxa"/>
            <w:noWrap w:val="0"/>
            <w:vAlign w:val="center"/>
          </w:tcPr>
          <w:p w14:paraId="3BF9747F">
            <w:pPr>
              <w:pStyle w:val="8"/>
              <w:spacing w:line="240" w:lineRule="auto"/>
              <w:rPr>
                <w:rFonts w:hint="default" w:ascii="Times New Roman" w:hAnsi="Times New Roman" w:cs="Times New Roman"/>
                <w:sz w:val="18"/>
                <w:szCs w:val="18"/>
              </w:rPr>
            </w:pPr>
          </w:p>
        </w:tc>
        <w:tc>
          <w:tcPr>
            <w:tcW w:w="3686" w:type="dxa"/>
            <w:noWrap w:val="0"/>
            <w:vAlign w:val="center"/>
          </w:tcPr>
          <w:p w14:paraId="5774317E">
            <w:pPr>
              <w:pStyle w:val="8"/>
              <w:spacing w:line="240" w:lineRule="auto"/>
              <w:rPr>
                <w:rFonts w:hint="default" w:ascii="Times New Roman" w:hAnsi="Times New Roman" w:eastAsia="宋体" w:cs="Times New Roman"/>
                <w:b/>
                <w:bCs/>
                <w:color w:val="FF0000"/>
                <w:sz w:val="18"/>
                <w:szCs w:val="18"/>
                <w:highlight w:val="yellow"/>
                <w:lang w:val="en-US" w:eastAsia="zh-CN"/>
              </w:rPr>
            </w:pPr>
          </w:p>
        </w:tc>
        <w:tc>
          <w:tcPr>
            <w:tcW w:w="708" w:type="dxa"/>
            <w:noWrap w:val="0"/>
            <w:vAlign w:val="center"/>
          </w:tcPr>
          <w:p w14:paraId="1EF9388F">
            <w:pPr>
              <w:pStyle w:val="8"/>
              <w:spacing w:line="240" w:lineRule="auto"/>
              <w:rPr>
                <w:rFonts w:hint="default" w:ascii="Times New Roman" w:hAnsi="Times New Roman" w:cs="Times New Roman"/>
                <w:b/>
                <w:bCs/>
                <w:color w:val="FF0000"/>
                <w:sz w:val="18"/>
                <w:szCs w:val="18"/>
                <w:highlight w:val="yellow"/>
              </w:rPr>
            </w:pPr>
          </w:p>
        </w:tc>
        <w:tc>
          <w:tcPr>
            <w:tcW w:w="709" w:type="dxa"/>
            <w:noWrap w:val="0"/>
            <w:vAlign w:val="center"/>
          </w:tcPr>
          <w:p w14:paraId="6FB16C57">
            <w:pPr>
              <w:pStyle w:val="8"/>
              <w:spacing w:line="240" w:lineRule="auto"/>
              <w:rPr>
                <w:rFonts w:hint="default" w:ascii="Times New Roman" w:hAnsi="Times New Roman" w:cs="Times New Roman"/>
                <w:b/>
                <w:bCs/>
                <w:color w:val="FF0000"/>
                <w:sz w:val="18"/>
                <w:szCs w:val="18"/>
                <w:highlight w:val="yellow"/>
              </w:rPr>
            </w:pPr>
          </w:p>
        </w:tc>
        <w:tc>
          <w:tcPr>
            <w:tcW w:w="851" w:type="dxa"/>
            <w:noWrap w:val="0"/>
            <w:vAlign w:val="center"/>
          </w:tcPr>
          <w:p w14:paraId="22484D06">
            <w:pPr>
              <w:pStyle w:val="8"/>
              <w:spacing w:line="240" w:lineRule="auto"/>
              <w:rPr>
                <w:rFonts w:hint="default" w:ascii="Times New Roman" w:hAnsi="Times New Roman" w:eastAsia="宋体" w:cs="Times New Roman"/>
                <w:b/>
                <w:bCs/>
                <w:color w:val="FF0000"/>
                <w:sz w:val="18"/>
                <w:szCs w:val="18"/>
                <w:highlight w:val="yellow"/>
                <w:lang w:val="en-US" w:eastAsia="zh-CN"/>
              </w:rPr>
            </w:pPr>
          </w:p>
        </w:tc>
      </w:tr>
      <w:tr w14:paraId="3A647D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 w:hRule="atLeast"/>
        </w:trPr>
        <w:tc>
          <w:tcPr>
            <w:tcW w:w="1216" w:type="dxa"/>
            <w:noWrap w:val="0"/>
            <w:vAlign w:val="center"/>
          </w:tcPr>
          <w:p w14:paraId="6DE845B1">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特色课程</w:t>
            </w:r>
          </w:p>
          <w:p w14:paraId="59C76843">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（名称自定义）</w:t>
            </w:r>
          </w:p>
          <w:p w14:paraId="257279E4">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=6学分</w:t>
            </w:r>
          </w:p>
        </w:tc>
        <w:tc>
          <w:tcPr>
            <w:tcW w:w="1134" w:type="dxa"/>
            <w:noWrap w:val="0"/>
            <w:vAlign w:val="center"/>
          </w:tcPr>
          <w:p w14:paraId="2B668A31">
            <w:pPr>
              <w:pStyle w:val="8"/>
              <w:spacing w:line="240" w:lineRule="auto"/>
              <w:rPr>
                <w:rFonts w:hint="default" w:ascii="Times New Roman" w:hAnsi="Times New Roman" w:cs="Times New Roman"/>
                <w:sz w:val="18"/>
                <w:szCs w:val="18"/>
              </w:rPr>
            </w:pPr>
          </w:p>
        </w:tc>
        <w:tc>
          <w:tcPr>
            <w:tcW w:w="3686" w:type="dxa"/>
            <w:noWrap w:val="0"/>
            <w:vAlign w:val="center"/>
          </w:tcPr>
          <w:p w14:paraId="485919D7">
            <w:pPr>
              <w:pStyle w:val="8"/>
              <w:spacing w:line="240" w:lineRule="auto"/>
              <w:rPr>
                <w:rFonts w:hint="default" w:ascii="Times New Roman" w:hAnsi="Times New Roman" w:cs="Times New Roman"/>
                <w:sz w:val="18"/>
                <w:szCs w:val="18"/>
              </w:rPr>
            </w:pPr>
          </w:p>
        </w:tc>
        <w:tc>
          <w:tcPr>
            <w:tcW w:w="708" w:type="dxa"/>
            <w:noWrap w:val="0"/>
            <w:vAlign w:val="center"/>
          </w:tcPr>
          <w:p w14:paraId="10FB30EE">
            <w:pPr>
              <w:pStyle w:val="8"/>
              <w:spacing w:line="240" w:lineRule="auto"/>
              <w:rPr>
                <w:rFonts w:hint="default" w:ascii="Times New Roman" w:hAnsi="Times New Roman" w:cs="Times New Roman"/>
                <w:sz w:val="18"/>
                <w:szCs w:val="18"/>
              </w:rPr>
            </w:pPr>
          </w:p>
        </w:tc>
        <w:tc>
          <w:tcPr>
            <w:tcW w:w="709" w:type="dxa"/>
            <w:noWrap w:val="0"/>
            <w:vAlign w:val="center"/>
          </w:tcPr>
          <w:p w14:paraId="5DD24168">
            <w:pPr>
              <w:pStyle w:val="8"/>
              <w:spacing w:line="240" w:lineRule="auto"/>
              <w:rPr>
                <w:rFonts w:hint="default" w:ascii="Times New Roman" w:hAnsi="Times New Roman" w:cs="Times New Roman"/>
                <w:sz w:val="18"/>
                <w:szCs w:val="18"/>
              </w:rPr>
            </w:pPr>
          </w:p>
        </w:tc>
        <w:tc>
          <w:tcPr>
            <w:tcW w:w="851" w:type="dxa"/>
            <w:noWrap w:val="0"/>
            <w:vAlign w:val="center"/>
          </w:tcPr>
          <w:p w14:paraId="6DF2A195">
            <w:pPr>
              <w:pStyle w:val="8"/>
              <w:spacing w:line="240" w:lineRule="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硕士</w:t>
            </w:r>
          </w:p>
        </w:tc>
      </w:tr>
      <w:tr w14:paraId="1548E6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216" w:type="dxa"/>
            <w:noWrap w:val="0"/>
            <w:vAlign w:val="center"/>
          </w:tcPr>
          <w:p w14:paraId="4EC5F730">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公共选修</w:t>
            </w:r>
          </w:p>
        </w:tc>
        <w:tc>
          <w:tcPr>
            <w:tcW w:w="1134" w:type="dxa"/>
            <w:noWrap w:val="0"/>
            <w:vAlign w:val="center"/>
          </w:tcPr>
          <w:p w14:paraId="21AF405F">
            <w:pPr>
              <w:pStyle w:val="8"/>
              <w:spacing w:line="240" w:lineRule="auto"/>
              <w:rPr>
                <w:rFonts w:hint="default" w:ascii="Times New Roman" w:hAnsi="Times New Roman" w:cs="Times New Roman"/>
                <w:sz w:val="18"/>
                <w:szCs w:val="18"/>
              </w:rPr>
            </w:pPr>
          </w:p>
        </w:tc>
        <w:tc>
          <w:tcPr>
            <w:tcW w:w="3686" w:type="dxa"/>
            <w:noWrap w:val="0"/>
            <w:vAlign w:val="center"/>
          </w:tcPr>
          <w:p w14:paraId="516D594E">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见《研究生公共选修课程目录》</w:t>
            </w:r>
          </w:p>
        </w:tc>
        <w:tc>
          <w:tcPr>
            <w:tcW w:w="708" w:type="dxa"/>
            <w:noWrap w:val="0"/>
            <w:vAlign w:val="center"/>
          </w:tcPr>
          <w:p w14:paraId="683F8B21">
            <w:pPr>
              <w:pStyle w:val="8"/>
              <w:spacing w:line="240" w:lineRule="auto"/>
              <w:rPr>
                <w:rFonts w:hint="default" w:ascii="Times New Roman" w:hAnsi="Times New Roman" w:cs="Times New Roman"/>
                <w:sz w:val="18"/>
                <w:szCs w:val="18"/>
              </w:rPr>
            </w:pPr>
          </w:p>
        </w:tc>
        <w:tc>
          <w:tcPr>
            <w:tcW w:w="709" w:type="dxa"/>
            <w:noWrap w:val="0"/>
            <w:vAlign w:val="center"/>
          </w:tcPr>
          <w:p w14:paraId="4C9C340A">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w:t>
            </w:r>
          </w:p>
        </w:tc>
        <w:tc>
          <w:tcPr>
            <w:tcW w:w="851" w:type="dxa"/>
            <w:noWrap w:val="0"/>
            <w:vAlign w:val="center"/>
          </w:tcPr>
          <w:p w14:paraId="1CB77675">
            <w:pPr>
              <w:pStyle w:val="8"/>
              <w:spacing w:line="240" w:lineRule="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硕士</w:t>
            </w:r>
          </w:p>
        </w:tc>
      </w:tr>
      <w:tr w14:paraId="721F15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16" w:type="dxa"/>
            <w:noWrap w:val="0"/>
            <w:vAlign w:val="center"/>
          </w:tcPr>
          <w:p w14:paraId="5F35F5F5">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必选环节</w:t>
            </w:r>
          </w:p>
          <w:p w14:paraId="4F653180">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w:t>
            </w:r>
            <w:r>
              <w:rPr>
                <w:rFonts w:hint="eastAsia" w:cs="Times New Roman"/>
                <w:sz w:val="18"/>
                <w:szCs w:val="18"/>
                <w:lang w:val="en-US" w:eastAsia="zh-CN"/>
              </w:rPr>
              <w:t>4</w:t>
            </w:r>
            <w:r>
              <w:rPr>
                <w:rFonts w:hint="default" w:ascii="Times New Roman" w:hAnsi="Times New Roman" w:cs="Times New Roman"/>
                <w:sz w:val="18"/>
                <w:szCs w:val="18"/>
              </w:rPr>
              <w:t>学分</w:t>
            </w:r>
          </w:p>
        </w:tc>
        <w:tc>
          <w:tcPr>
            <w:tcW w:w="1134" w:type="dxa"/>
            <w:noWrap w:val="0"/>
            <w:vAlign w:val="center"/>
          </w:tcPr>
          <w:p w14:paraId="6BE9480B">
            <w:pPr>
              <w:pStyle w:val="8"/>
              <w:spacing w:line="240" w:lineRule="auto"/>
              <w:rPr>
                <w:rFonts w:hint="default" w:ascii="Times New Roman" w:hAnsi="Times New Roman" w:cs="Times New Roman"/>
                <w:sz w:val="18"/>
                <w:szCs w:val="18"/>
              </w:rPr>
            </w:pPr>
          </w:p>
        </w:tc>
        <w:tc>
          <w:tcPr>
            <w:tcW w:w="3686" w:type="dxa"/>
            <w:noWrap w:val="0"/>
            <w:vAlign w:val="center"/>
          </w:tcPr>
          <w:p w14:paraId="253E060D">
            <w:pPr>
              <w:pStyle w:val="8"/>
              <w:spacing w:line="240" w:lineRule="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18"/>
                <w:szCs w:val="18"/>
                <w:highlight w:val="none"/>
              </w:rPr>
              <w:t>专业实践</w:t>
            </w:r>
          </w:p>
        </w:tc>
        <w:tc>
          <w:tcPr>
            <w:tcW w:w="708" w:type="dxa"/>
            <w:noWrap w:val="0"/>
            <w:vAlign w:val="center"/>
          </w:tcPr>
          <w:p w14:paraId="3059F93F">
            <w:pPr>
              <w:pStyle w:val="8"/>
              <w:spacing w:line="240" w:lineRule="auto"/>
              <w:rPr>
                <w:rFonts w:hint="default" w:ascii="Times New Roman" w:hAnsi="Times New Roman" w:cs="Times New Roman"/>
                <w:b w:val="0"/>
                <w:bCs w:val="0"/>
                <w:color w:val="auto"/>
                <w:kern w:val="2"/>
                <w:sz w:val="18"/>
                <w:szCs w:val="18"/>
                <w:highlight w:val="none"/>
                <w:lang w:val="en-US" w:eastAsia="zh-CN" w:bidi="ar-SA"/>
              </w:rPr>
            </w:pPr>
            <w:r>
              <w:rPr>
                <w:rFonts w:hint="default" w:ascii="Times New Roman" w:hAnsi="Times New Roman" w:cs="Times New Roman"/>
                <w:b w:val="0"/>
                <w:bCs w:val="0"/>
                <w:color w:val="auto"/>
                <w:sz w:val="18"/>
                <w:szCs w:val="18"/>
                <w:highlight w:val="none"/>
              </w:rPr>
              <w:t>4</w:t>
            </w:r>
          </w:p>
        </w:tc>
        <w:tc>
          <w:tcPr>
            <w:tcW w:w="709" w:type="dxa"/>
            <w:noWrap w:val="0"/>
            <w:vAlign w:val="center"/>
          </w:tcPr>
          <w:p w14:paraId="42A7A889">
            <w:pPr>
              <w:pStyle w:val="8"/>
              <w:spacing w:line="240" w:lineRule="auto"/>
              <w:rPr>
                <w:rFonts w:hint="default" w:ascii="Times New Roman" w:hAnsi="Times New Roman" w:cs="Times New Roman"/>
                <w:b w:val="0"/>
                <w:bCs w:val="0"/>
                <w:color w:val="auto"/>
                <w:kern w:val="2"/>
                <w:sz w:val="18"/>
                <w:szCs w:val="18"/>
                <w:highlight w:val="none"/>
                <w:lang w:val="en-US" w:eastAsia="zh-CN" w:bidi="ar-SA"/>
              </w:rPr>
            </w:pPr>
            <w:r>
              <w:rPr>
                <w:rFonts w:hint="default" w:ascii="Times New Roman" w:hAnsi="Times New Roman" w:cs="Times New Roman"/>
                <w:b w:val="0"/>
                <w:bCs w:val="0"/>
                <w:color w:val="auto"/>
                <w:sz w:val="18"/>
                <w:szCs w:val="18"/>
                <w:highlight w:val="none"/>
              </w:rPr>
              <w:t>1-4</w:t>
            </w:r>
          </w:p>
        </w:tc>
        <w:tc>
          <w:tcPr>
            <w:tcW w:w="851" w:type="dxa"/>
            <w:noWrap w:val="0"/>
            <w:vAlign w:val="center"/>
          </w:tcPr>
          <w:p w14:paraId="45C64115">
            <w:pPr>
              <w:pStyle w:val="8"/>
              <w:spacing w:line="240" w:lineRule="auto"/>
              <w:rPr>
                <w:rFonts w:hint="default" w:ascii="Times New Roman" w:hAnsi="Times New Roman" w:cs="Times New Roman"/>
                <w:b w:val="0"/>
                <w:bCs w:val="0"/>
                <w:color w:val="auto"/>
                <w:kern w:val="2"/>
                <w:sz w:val="18"/>
                <w:szCs w:val="18"/>
                <w:highlight w:val="none"/>
                <w:lang w:val="en-US" w:eastAsia="zh-CN" w:bidi="ar-SA"/>
              </w:rPr>
            </w:pPr>
            <w:r>
              <w:rPr>
                <w:rFonts w:hint="default" w:ascii="Times New Roman" w:hAnsi="Times New Roman" w:cs="Times New Roman"/>
                <w:b w:val="0"/>
                <w:bCs w:val="0"/>
                <w:color w:val="auto"/>
                <w:sz w:val="18"/>
                <w:szCs w:val="18"/>
                <w:highlight w:val="none"/>
                <w:lang w:val="en-US" w:eastAsia="zh-CN"/>
              </w:rPr>
              <w:t>专硕</w:t>
            </w:r>
          </w:p>
        </w:tc>
      </w:tr>
      <w:tr w14:paraId="144B5F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16" w:type="dxa"/>
            <w:noWrap w:val="0"/>
            <w:vAlign w:val="center"/>
          </w:tcPr>
          <w:p w14:paraId="78BF7647">
            <w:pPr>
              <w:pStyle w:val="8"/>
              <w:spacing w:line="240" w:lineRule="auto"/>
              <w:rPr>
                <w:rFonts w:hint="default" w:ascii="Times New Roman" w:hAnsi="Times New Roman" w:eastAsia="宋体" w:cs="Times New Roman"/>
                <w:sz w:val="18"/>
                <w:szCs w:val="18"/>
                <w:lang w:val="en-US" w:eastAsia="zh-CN"/>
              </w:rPr>
            </w:pPr>
            <w:bookmarkStart w:id="2" w:name="_Hlk102054340"/>
            <w:r>
              <w:rPr>
                <w:rFonts w:hint="default" w:ascii="Times New Roman" w:hAnsi="Times New Roman" w:cs="Times New Roman"/>
                <w:sz w:val="18"/>
                <w:szCs w:val="18"/>
                <w:lang w:val="en-US" w:eastAsia="zh-CN"/>
              </w:rPr>
              <w:t>补修课程</w:t>
            </w:r>
          </w:p>
        </w:tc>
        <w:tc>
          <w:tcPr>
            <w:tcW w:w="1134" w:type="dxa"/>
            <w:noWrap w:val="0"/>
            <w:vAlign w:val="center"/>
          </w:tcPr>
          <w:p w14:paraId="0FB892D5">
            <w:pPr>
              <w:pStyle w:val="8"/>
              <w:spacing w:line="240" w:lineRule="auto"/>
              <w:rPr>
                <w:rFonts w:hint="default" w:ascii="Times New Roman" w:hAnsi="Times New Roman" w:cs="Times New Roman"/>
                <w:sz w:val="18"/>
                <w:szCs w:val="18"/>
              </w:rPr>
            </w:pPr>
          </w:p>
        </w:tc>
        <w:tc>
          <w:tcPr>
            <w:tcW w:w="3686" w:type="dxa"/>
            <w:noWrap w:val="0"/>
            <w:vAlign w:val="center"/>
          </w:tcPr>
          <w:p w14:paraId="5AA8F13C">
            <w:pPr>
              <w:pStyle w:val="8"/>
              <w:spacing w:line="240" w:lineRule="auto"/>
              <w:rPr>
                <w:rFonts w:hint="default" w:ascii="Times New Roman" w:hAnsi="Times New Roman" w:eastAsia="宋体" w:cs="Times New Roman"/>
                <w:lang w:val="en-US" w:eastAsia="zh-CN"/>
              </w:rPr>
            </w:pPr>
          </w:p>
        </w:tc>
        <w:tc>
          <w:tcPr>
            <w:tcW w:w="708" w:type="dxa"/>
            <w:noWrap w:val="0"/>
            <w:vAlign w:val="center"/>
          </w:tcPr>
          <w:p w14:paraId="723CE29B">
            <w:pPr>
              <w:pStyle w:val="8"/>
              <w:spacing w:line="240" w:lineRule="auto"/>
              <w:rPr>
                <w:rFonts w:hint="default" w:ascii="Times New Roman" w:hAnsi="Times New Roman" w:cs="Times New Roman"/>
              </w:rPr>
            </w:pPr>
          </w:p>
        </w:tc>
        <w:tc>
          <w:tcPr>
            <w:tcW w:w="709" w:type="dxa"/>
            <w:noWrap w:val="0"/>
            <w:vAlign w:val="center"/>
          </w:tcPr>
          <w:p w14:paraId="6FAE6A41">
            <w:pPr>
              <w:pStyle w:val="8"/>
              <w:spacing w:line="240" w:lineRule="auto"/>
              <w:rPr>
                <w:rFonts w:hint="default" w:ascii="Times New Roman" w:hAnsi="Times New Roman" w:cs="Times New Roman"/>
              </w:rPr>
            </w:pPr>
          </w:p>
        </w:tc>
        <w:tc>
          <w:tcPr>
            <w:tcW w:w="851" w:type="dxa"/>
            <w:noWrap w:val="0"/>
            <w:vAlign w:val="center"/>
          </w:tcPr>
          <w:p w14:paraId="485ADAC9">
            <w:pPr>
              <w:pStyle w:val="8"/>
              <w:spacing w:line="240" w:lineRule="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不计</w:t>
            </w:r>
          </w:p>
          <w:p w14:paraId="5E4CD7BE">
            <w:pPr>
              <w:pStyle w:val="8"/>
              <w:spacing w:line="240" w:lineRule="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学分</w:t>
            </w:r>
          </w:p>
        </w:tc>
      </w:tr>
    </w:tbl>
    <w:p w14:paraId="24B4D234">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注：1）学分抵扣，为满足社会多元化需求和学生个性化培养的要求，凡在科研成果、创新创业、社会工作获得突出成绩的，经研究生申请、学院认定后，可以冲抵一定选修课学分。具体内容参照相关文件规定。</w:t>
      </w:r>
    </w:p>
    <w:p w14:paraId="0B24ABFB">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2）工程类实验室安全教育，在课程中需明确学时要求。</w:t>
      </w:r>
    </w:p>
    <w:p w14:paraId="3FE715AF">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highlight w:val="none"/>
          <w:u w:val="single"/>
          <w:lang w:val="en-US" w:eastAsia="zh-CN" w:bidi="ar"/>
        </w:rPr>
      </w:pPr>
      <w:r>
        <w:rPr>
          <w:rFonts w:hint="eastAsia" w:asciiTheme="minorEastAsia" w:hAnsiTheme="minorEastAsia" w:eastAsiaTheme="minorEastAsia" w:cstheme="minorEastAsia"/>
          <w:color w:val="000000"/>
          <w:kern w:val="0"/>
          <w:sz w:val="24"/>
          <w:szCs w:val="24"/>
          <w:highlight w:val="none"/>
          <w:u w:val="single"/>
          <w:lang w:val="en-US" w:eastAsia="zh-CN" w:bidi="ar"/>
        </w:rPr>
        <w:t>3）《科学道德与学术规范》课程的授课过程与授课方式，按照原来实施，全校该门课的考核由“能源电力学科思政教育平台”牵头学院实施。</w:t>
      </w:r>
    </w:p>
    <w:p w14:paraId="2E8BE738">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sz w:val="24"/>
          <w:szCs w:val="24"/>
          <w:highlight w:val="none"/>
          <w:u w:val="single"/>
          <w:lang w:val="en-US" w:eastAsia="zh-CN"/>
        </w:rPr>
      </w:pPr>
      <w:r>
        <w:rPr>
          <w:rFonts w:hint="eastAsia" w:asciiTheme="minorEastAsia" w:hAnsiTheme="minorEastAsia" w:eastAsiaTheme="minorEastAsia" w:cstheme="minorEastAsia"/>
          <w:color w:val="000000"/>
          <w:kern w:val="0"/>
          <w:sz w:val="24"/>
          <w:szCs w:val="24"/>
          <w:highlight w:val="none"/>
          <w:u w:val="single"/>
          <w:lang w:val="en-US" w:eastAsia="zh-CN" w:bidi="ar"/>
        </w:rPr>
        <w:t>4）专硕各专业课程应全覆盖AI类课程。采用分类分层教学方式，电子信息类专硕为A类，非电子信息类工程专硕为B类，非工程类专硕为C类，A、B、C三类AI类课程由“</w:t>
      </w:r>
      <w:r>
        <w:rPr>
          <w:rFonts w:hint="eastAsia" w:asciiTheme="minorEastAsia" w:hAnsiTheme="minorEastAsia" w:eastAsiaTheme="minorEastAsia" w:cstheme="minorEastAsia"/>
          <w:b w:val="0"/>
          <w:bCs/>
          <w:sz w:val="24"/>
          <w:szCs w:val="24"/>
          <w:highlight w:val="none"/>
          <w:u w:val="single"/>
          <w:lang w:val="en-US" w:eastAsia="zh-CN"/>
        </w:rPr>
        <w:t>AI赋能学科交叉教育平台”牵头学院负责管理和认定。</w:t>
      </w:r>
    </w:p>
    <w:p w14:paraId="3680DB31">
      <w:pPr>
        <w:keepNext w:val="0"/>
        <w:keepLines w:val="0"/>
        <w:widowControl/>
        <w:suppressLineNumbers w:val="0"/>
        <w:spacing w:line="360" w:lineRule="auto"/>
        <w:ind w:firstLine="480" w:firstLineChars="200"/>
        <w:jc w:val="left"/>
        <w:rPr>
          <w:rFonts w:hint="default" w:ascii="黑体" w:hAnsi="黑体"/>
          <w:b w:val="0"/>
          <w:bCs/>
          <w:sz w:val="24"/>
          <w:szCs w:val="24"/>
          <w:highlight w:val="none"/>
          <w:u w:val="single"/>
          <w:lang w:val="en-US" w:eastAsia="zh-CN"/>
        </w:rPr>
      </w:pPr>
      <w:r>
        <w:rPr>
          <w:rFonts w:hint="eastAsia" w:asciiTheme="minorEastAsia" w:hAnsiTheme="minorEastAsia" w:eastAsiaTheme="minorEastAsia" w:cstheme="minorEastAsia"/>
          <w:b w:val="0"/>
          <w:bCs/>
          <w:sz w:val="24"/>
          <w:szCs w:val="24"/>
          <w:highlight w:val="none"/>
          <w:u w:val="single"/>
          <w:lang w:val="en-US" w:eastAsia="zh-CN"/>
        </w:rPr>
        <w:t>5）“</w:t>
      </w:r>
      <w:r>
        <w:rPr>
          <w:rFonts w:hint="eastAsia" w:asciiTheme="minorEastAsia" w:hAnsiTheme="minorEastAsia" w:eastAsiaTheme="minorEastAsia" w:cstheme="minorEastAsia"/>
          <w:color w:val="000000"/>
          <w:kern w:val="0"/>
          <w:sz w:val="24"/>
          <w:szCs w:val="24"/>
          <w:highlight w:val="none"/>
          <w:u w:val="single"/>
          <w:lang w:val="en-US" w:eastAsia="zh-CN" w:bidi="ar"/>
        </w:rPr>
        <w:t>STEM教育实践创新平台”牵头学院，应新增校内教师与企业专家联合开设实践创新类课程，以及对本学院专业实践的内涵建设和实施过程进行相应设计，并制定相应考核办法。</w:t>
      </w:r>
    </w:p>
    <w:bookmarkEnd w:id="2"/>
    <w:p w14:paraId="51F9287C">
      <w:pPr>
        <w:spacing w:line="360" w:lineRule="auto"/>
        <w:ind w:firstLine="480" w:firstLineChars="200"/>
        <w:rPr>
          <w:rFonts w:hint="eastAsia" w:ascii="黑体" w:hAnsi="黑体" w:eastAsia="黑体" w:cs="Times New Roman"/>
          <w:sz w:val="24"/>
        </w:rPr>
      </w:pPr>
      <w:r>
        <w:rPr>
          <w:rFonts w:hint="eastAsia" w:ascii="黑体" w:hAnsi="黑体" w:eastAsia="黑体" w:cs="Times New Roman"/>
          <w:sz w:val="24"/>
        </w:rPr>
        <w:t>（</w:t>
      </w:r>
      <w:r>
        <w:rPr>
          <w:rFonts w:hint="eastAsia" w:ascii="黑体" w:hAnsi="黑体" w:eastAsia="黑体" w:cs="Times New Roman"/>
          <w:sz w:val="24"/>
          <w:lang w:val="en-US" w:eastAsia="zh-CN"/>
        </w:rPr>
        <w:t>2</w:t>
      </w:r>
      <w:r>
        <w:rPr>
          <w:rFonts w:hint="eastAsia" w:ascii="黑体" w:hAnsi="黑体" w:eastAsia="黑体" w:cs="Times New Roman"/>
          <w:sz w:val="24"/>
        </w:rPr>
        <w:t>）必选环节（</w:t>
      </w:r>
      <w:r>
        <w:rPr>
          <w:rFonts w:hint="eastAsia" w:ascii="黑体" w:hAnsi="黑体" w:eastAsia="黑体" w:cs="Times New Roman"/>
          <w:sz w:val="24"/>
          <w:lang w:val="en-US" w:eastAsia="zh-CN"/>
        </w:rPr>
        <w:t>4</w:t>
      </w:r>
      <w:r>
        <w:rPr>
          <w:rFonts w:hint="eastAsia" w:ascii="黑体" w:hAnsi="黑体" w:eastAsia="黑体" w:cs="Times New Roman"/>
          <w:sz w:val="24"/>
        </w:rPr>
        <w:t>学分）</w:t>
      </w:r>
    </w:p>
    <w:p w14:paraId="41DE20D9">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程类专业实践按照该类专业学位教指委相关文件要求执行。鼓励到企业进行，可采用集中实践与分段实践相结合的方式。在学期间，必须保证不少于半年的实践教学，具有2年及以上企业工作经历的研究生专业实践时间应不少于6个月，不具有2年企业工作经历的研究生专业实践时间应不少于1年。非全日制工程类硕士专业学位研究生专业实践可结合自身工作岗位任务开展。翻译类硕士专业实践（专业实习）按照该专业学位教指委相关文件要求执行。</w:t>
      </w:r>
    </w:p>
    <w:p w14:paraId="546407B9">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实践成果能够反映专业学位硕士生在职业能力和职业素养方面取得的成效。研究生要提交实践学习计划，撰写专业实践学习总结报告。</w:t>
      </w:r>
    </w:p>
    <w:p w14:paraId="40F928F7">
      <w:pPr>
        <w:spacing w:line="360" w:lineRule="auto"/>
        <w:rPr>
          <w:rFonts w:hint="default" w:ascii="宋体" w:hAnsi="宋体" w:cs="宋体"/>
          <w:b/>
          <w:bCs/>
          <w:sz w:val="24"/>
          <w:szCs w:val="24"/>
          <w:lang w:val="en-US" w:eastAsia="zh-CN"/>
        </w:rPr>
      </w:pPr>
      <w:r>
        <w:rPr>
          <w:rFonts w:hint="eastAsia" w:ascii="黑体" w:hAnsi="黑体" w:eastAsia="黑体"/>
          <w:sz w:val="24"/>
          <w:lang w:val="en-US" w:eastAsia="zh-CN"/>
        </w:rPr>
        <w:t>5.</w:t>
      </w:r>
      <w:r>
        <w:rPr>
          <w:rFonts w:hint="eastAsia" w:ascii="黑体" w:hAnsi="黑体" w:eastAsia="黑体"/>
          <w:sz w:val="24"/>
        </w:rPr>
        <w:t>学位论文</w:t>
      </w:r>
      <w:r>
        <w:rPr>
          <w:rFonts w:hint="eastAsia" w:ascii="宋体" w:hAnsi="宋体" w:cs="宋体"/>
          <w:b/>
          <w:bCs/>
          <w:sz w:val="24"/>
          <w:szCs w:val="24"/>
          <w:lang w:val="en-US" w:eastAsia="zh-CN"/>
        </w:rPr>
        <w:t>与申请学位实践成果要求</w:t>
      </w:r>
    </w:p>
    <w:p w14:paraId="0A09DED4">
      <w:pPr>
        <w:spacing w:line="360" w:lineRule="auto"/>
        <w:ind w:firstLine="480" w:firstLineChars="200"/>
        <w:rPr>
          <w:color w:val="auto"/>
          <w:sz w:val="24"/>
          <w:szCs w:val="24"/>
          <w:highlight w:val="none"/>
        </w:rPr>
      </w:pPr>
      <w:r>
        <w:rPr>
          <w:color w:val="auto"/>
          <w:sz w:val="24"/>
          <w:szCs w:val="24"/>
          <w:highlight w:val="none"/>
        </w:rPr>
        <w:t>专业学位研究生的学位论文工作是研究生培养的重要组成部分，必须强化应用导向，形式可多种多样，重在考察学生综合运用理论、方法和技术解决实际问题的能力。</w:t>
      </w:r>
    </w:p>
    <w:p w14:paraId="5E870E26">
      <w:pPr>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学位论文应经过开题报告、中期检查、论文评审与答辩等环节，各环节的时间节点和具体要求，按学校相关规定和各专业具体要求执行。</w:t>
      </w:r>
    </w:p>
    <w:p w14:paraId="2B8CEC3A">
      <w:pPr>
        <w:spacing w:line="360" w:lineRule="auto"/>
        <w:ind w:firstLine="480" w:firstLineChars="200"/>
        <w:rPr>
          <w:color w:val="auto"/>
          <w:sz w:val="24"/>
          <w:szCs w:val="24"/>
          <w:highlight w:val="none"/>
        </w:rPr>
      </w:pPr>
      <w:r>
        <w:rPr>
          <w:rFonts w:hint="eastAsia"/>
          <w:color w:val="auto"/>
          <w:sz w:val="24"/>
          <w:szCs w:val="24"/>
          <w:highlight w:val="none"/>
          <w:lang w:eastAsia="zh-CN"/>
        </w:rPr>
        <w:t>（</w:t>
      </w:r>
      <w:r>
        <w:rPr>
          <w:color w:val="auto"/>
          <w:sz w:val="24"/>
          <w:szCs w:val="24"/>
          <w:highlight w:val="none"/>
        </w:rPr>
        <w:t>2</w:t>
      </w:r>
      <w:r>
        <w:rPr>
          <w:rFonts w:hint="eastAsia"/>
          <w:color w:val="auto"/>
          <w:sz w:val="24"/>
          <w:szCs w:val="24"/>
          <w:highlight w:val="none"/>
          <w:lang w:eastAsia="zh-CN"/>
        </w:rPr>
        <w:t>）</w:t>
      </w:r>
      <w:r>
        <w:rPr>
          <w:color w:val="auto"/>
          <w:sz w:val="24"/>
          <w:szCs w:val="24"/>
          <w:highlight w:val="none"/>
        </w:rPr>
        <w:t>学位论文研究工作一般应与专业实践相结合，时间不少于1年。学位论文必须由研究生独立完成。</w:t>
      </w:r>
    </w:p>
    <w:p w14:paraId="707DCD40">
      <w:pPr>
        <w:spacing w:line="360" w:lineRule="auto"/>
        <w:ind w:firstLine="470"/>
        <w:rPr>
          <w:rFonts w:hint="eastAsia"/>
          <w:sz w:val="24"/>
          <w:szCs w:val="24"/>
          <w:highlight w:val="none"/>
          <w:u w:val="single"/>
          <w:lang w:val="en-US" w:eastAsia="zh-CN"/>
        </w:rPr>
      </w:pPr>
      <w:r>
        <w:rPr>
          <w:rFonts w:hint="eastAsia" w:ascii="宋体" w:hAnsi="宋体" w:cs="宋体"/>
          <w:color w:val="000000"/>
          <w:kern w:val="0"/>
          <w:sz w:val="24"/>
          <w:szCs w:val="24"/>
          <w:highlight w:val="none"/>
          <w:u w:val="single"/>
          <w:lang w:val="en-US" w:eastAsia="zh-CN" w:bidi="ar"/>
        </w:rPr>
        <w:t>（</w:t>
      </w:r>
      <w:r>
        <w:rPr>
          <w:rFonts w:hint="eastAsia" w:ascii="宋体" w:hAnsi="宋体" w:eastAsia="宋体" w:cs="宋体"/>
          <w:color w:val="000000"/>
          <w:kern w:val="0"/>
          <w:sz w:val="24"/>
          <w:szCs w:val="24"/>
          <w:highlight w:val="none"/>
          <w:u w:val="single"/>
          <w:lang w:val="en-US" w:eastAsia="zh-CN" w:bidi="ar"/>
        </w:rPr>
        <w:t>3</w:t>
      </w:r>
      <w:r>
        <w:rPr>
          <w:rFonts w:hint="eastAsia" w:ascii="宋体" w:hAnsi="宋体" w:cs="宋体"/>
          <w:color w:val="000000"/>
          <w:kern w:val="0"/>
          <w:sz w:val="24"/>
          <w:szCs w:val="24"/>
          <w:highlight w:val="none"/>
          <w:u w:val="single"/>
          <w:lang w:val="en-US" w:eastAsia="zh-CN" w:bidi="ar"/>
        </w:rPr>
        <w:t>）</w:t>
      </w:r>
      <w:r>
        <w:rPr>
          <w:rFonts w:hint="eastAsia" w:ascii="宋体" w:hAnsi="宋体" w:eastAsia="宋体" w:cs="宋体"/>
          <w:color w:val="000000"/>
          <w:kern w:val="0"/>
          <w:sz w:val="24"/>
          <w:szCs w:val="24"/>
          <w:highlight w:val="none"/>
          <w:u w:val="single"/>
          <w:lang w:val="en-US" w:eastAsia="zh-CN" w:bidi="ar"/>
        </w:rPr>
        <w:t>学位论文类型主要包括专题研究类论文、调研报告、案例分析报告、方案设计等形式，鼓励结合工程前沿技术研究、重大工程设计、新产品或新装置研制等进行撰写。其他形式的论文或创新成果，各学院可自行探索并制定相应标准。</w:t>
      </w:r>
      <w:r>
        <w:rPr>
          <w:rFonts w:hint="eastAsia"/>
          <w:sz w:val="24"/>
          <w:szCs w:val="24"/>
          <w:highlight w:val="none"/>
          <w:u w:val="single"/>
          <w:lang w:val="en-US" w:eastAsia="zh-CN"/>
        </w:rPr>
        <w:t>培养方案中须明确本专业学位论文与申请学位实践成果要求。</w:t>
      </w:r>
    </w:p>
    <w:p w14:paraId="644521AD">
      <w:pPr>
        <w:numPr>
          <w:ilvl w:val="0"/>
          <w:numId w:val="0"/>
        </w:numPr>
        <w:spacing w:line="360" w:lineRule="auto"/>
        <w:ind w:firstLine="480" w:firstLineChars="200"/>
        <w:rPr>
          <w:rFonts w:hint="eastAsia"/>
          <w:sz w:val="24"/>
          <w:szCs w:val="24"/>
          <w:highlight w:val="none"/>
          <w:u w:val="single"/>
          <w:lang w:val="en-US" w:eastAsia="zh-CN"/>
        </w:rPr>
      </w:pPr>
      <w:r>
        <w:rPr>
          <w:color w:val="auto"/>
          <w:sz w:val="24"/>
          <w:szCs w:val="24"/>
          <w:highlight w:val="none"/>
          <w:u w:val="single"/>
        </w:rPr>
        <w:t>专业学位研究生在学位论文答辩前，</w:t>
      </w:r>
      <w:r>
        <w:rPr>
          <w:rFonts w:hint="eastAsia"/>
          <w:sz w:val="24"/>
          <w:szCs w:val="24"/>
          <w:highlight w:val="none"/>
          <w:u w:val="single"/>
          <w:lang w:val="en-US" w:eastAsia="zh-CN"/>
        </w:rPr>
        <w:t>需满足以下条件之一：1）发表</w:t>
      </w:r>
      <w:r>
        <w:rPr>
          <w:rFonts w:hint="eastAsia" w:ascii="Times New Roman" w:hAnsi="Times New Roman"/>
          <w:sz w:val="24"/>
          <w:szCs w:val="24"/>
          <w:highlight w:val="none"/>
          <w:u w:val="single"/>
          <w:lang w:val="en-US" w:eastAsia="zh-CN"/>
        </w:rPr>
        <w:t>学术论文类；</w:t>
      </w:r>
      <w:r>
        <w:rPr>
          <w:rFonts w:hint="eastAsia"/>
          <w:sz w:val="24"/>
          <w:szCs w:val="24"/>
          <w:highlight w:val="none"/>
          <w:u w:val="single"/>
          <w:lang w:val="en-US" w:eastAsia="zh-CN"/>
        </w:rPr>
        <w:t>2）申请</w:t>
      </w:r>
      <w:r>
        <w:rPr>
          <w:rFonts w:hint="eastAsia"/>
          <w:color w:val="auto"/>
          <w:sz w:val="24"/>
          <w:szCs w:val="24"/>
          <w:highlight w:val="none"/>
          <w:u w:val="single"/>
          <w:lang w:val="en-US" w:eastAsia="zh-CN"/>
        </w:rPr>
        <w:t>专利类</w:t>
      </w:r>
      <w:r>
        <w:rPr>
          <w:rFonts w:hint="eastAsia"/>
          <w:sz w:val="24"/>
          <w:szCs w:val="24"/>
          <w:highlight w:val="none"/>
          <w:u w:val="single"/>
          <w:lang w:val="en-US" w:eastAsia="zh-CN"/>
        </w:rPr>
        <w:t>；3）软件著作权类；4）其他。</w:t>
      </w:r>
      <w:r>
        <w:rPr>
          <w:color w:val="auto"/>
          <w:sz w:val="24"/>
          <w:szCs w:val="24"/>
          <w:highlight w:val="none"/>
        </w:rPr>
        <w:t>上述成果的第一署名单位必须为上海电力大学（共同第一单位的情况，上海电力大学必须排名第一）。</w:t>
      </w:r>
      <w:r>
        <w:rPr>
          <w:rFonts w:hint="eastAsia"/>
          <w:sz w:val="24"/>
          <w:szCs w:val="24"/>
          <w:highlight w:val="none"/>
          <w:u w:val="single"/>
          <w:lang w:val="en-US" w:eastAsia="zh-CN"/>
        </w:rPr>
        <w:t>各专业可根据自身特点和优势，制定科学的成果标准，成果要求可高于学校要求。</w:t>
      </w:r>
      <w:r>
        <w:rPr>
          <w:rFonts w:hint="eastAsia"/>
          <w:sz w:val="24"/>
          <w:szCs w:val="24"/>
          <w:highlight w:val="none"/>
          <w:u w:val="none"/>
          <w:lang w:val="en-US" w:eastAsia="zh-CN"/>
        </w:rPr>
        <w:t>培养方案中须明确本专业毕业的成果要求。</w:t>
      </w:r>
    </w:p>
    <w:p w14:paraId="0925F5A4">
      <w:pPr>
        <w:spacing w:line="360" w:lineRule="auto"/>
        <w:rPr>
          <w:rFonts w:hint="eastAsia" w:ascii="黑体" w:hAnsi="黑体" w:eastAsia="黑体"/>
          <w:sz w:val="24"/>
        </w:rPr>
      </w:pPr>
      <w:r>
        <w:rPr>
          <w:rFonts w:hint="eastAsia" w:ascii="黑体" w:hAnsi="黑体" w:eastAsia="黑体"/>
          <w:sz w:val="24"/>
          <w:lang w:val="en-US" w:eastAsia="zh-CN"/>
        </w:rPr>
        <w:t>6.</w:t>
      </w:r>
      <w:r>
        <w:rPr>
          <w:rFonts w:hint="eastAsia" w:ascii="黑体" w:hAnsi="黑体" w:eastAsia="黑体"/>
          <w:sz w:val="24"/>
        </w:rPr>
        <w:t>其他</w:t>
      </w:r>
    </w:p>
    <w:p w14:paraId="6A19EE57">
      <w:pPr>
        <w:autoSpaceDE w:val="0"/>
        <w:autoSpaceDN w:val="0"/>
        <w:adjustRightInd w:val="0"/>
        <w:spacing w:line="360" w:lineRule="auto"/>
        <w:ind w:firstLine="482" w:firstLineChars="200"/>
        <w:rPr>
          <w:b/>
          <w:bCs/>
          <w:color w:val="auto"/>
          <w:kern w:val="0"/>
          <w:sz w:val="24"/>
          <w:szCs w:val="24"/>
          <w:highlight w:val="none"/>
        </w:rPr>
      </w:pPr>
      <w:r>
        <w:rPr>
          <w:rFonts w:hint="eastAsia"/>
          <w:b/>
          <w:bCs/>
          <w:color w:val="auto"/>
          <w:kern w:val="0"/>
          <w:sz w:val="24"/>
          <w:szCs w:val="24"/>
          <w:highlight w:val="none"/>
          <w:lang w:eastAsia="zh-CN"/>
        </w:rPr>
        <w:t>（</w:t>
      </w:r>
      <w:r>
        <w:rPr>
          <w:b/>
          <w:bCs/>
          <w:color w:val="auto"/>
          <w:kern w:val="0"/>
          <w:sz w:val="24"/>
          <w:szCs w:val="24"/>
          <w:highlight w:val="none"/>
        </w:rPr>
        <w:t>1</w:t>
      </w:r>
      <w:r>
        <w:rPr>
          <w:rFonts w:hint="eastAsia"/>
          <w:b/>
          <w:bCs/>
          <w:color w:val="auto"/>
          <w:kern w:val="0"/>
          <w:sz w:val="24"/>
          <w:szCs w:val="24"/>
          <w:highlight w:val="none"/>
          <w:lang w:eastAsia="zh-CN"/>
        </w:rPr>
        <w:t>）</w:t>
      </w:r>
      <w:r>
        <w:rPr>
          <w:b/>
          <w:bCs/>
          <w:color w:val="auto"/>
          <w:kern w:val="0"/>
          <w:sz w:val="24"/>
          <w:szCs w:val="24"/>
          <w:highlight w:val="none"/>
        </w:rPr>
        <w:t>培养计划的制定</w:t>
      </w:r>
    </w:p>
    <w:p w14:paraId="1077C9CC">
      <w:pPr>
        <w:autoSpaceDE w:val="0"/>
        <w:autoSpaceDN w:val="0"/>
        <w:adjustRightInd w:val="0"/>
        <w:spacing w:line="360" w:lineRule="auto"/>
        <w:ind w:firstLine="480" w:firstLineChars="200"/>
        <w:rPr>
          <w:color w:val="auto"/>
          <w:sz w:val="24"/>
          <w:szCs w:val="24"/>
          <w:highlight w:val="none"/>
        </w:rPr>
      </w:pPr>
      <w:r>
        <w:rPr>
          <w:color w:val="auto"/>
          <w:sz w:val="24"/>
          <w:szCs w:val="24"/>
          <w:highlight w:val="none"/>
        </w:rPr>
        <w:t>专业学位研究生应在入学后一个月内，在导师指导下根据本学科培养方案的要求和研究生本人的具体情况确定培养计划，经指导教师审核同意和专业委员会负责人签字后，要求一式四份，其中一份由研究生本人保管，一份导师保存，一份存二级学院存档，一份交研究生院备案。</w:t>
      </w:r>
    </w:p>
    <w:p w14:paraId="67C9525A">
      <w:pPr>
        <w:autoSpaceDE w:val="0"/>
        <w:autoSpaceDN w:val="0"/>
        <w:adjustRightInd w:val="0"/>
        <w:spacing w:line="360" w:lineRule="auto"/>
        <w:ind w:firstLine="482" w:firstLineChars="200"/>
        <w:rPr>
          <w:b/>
          <w:bCs/>
          <w:color w:val="auto"/>
          <w:kern w:val="0"/>
          <w:sz w:val="24"/>
          <w:szCs w:val="24"/>
          <w:highlight w:val="none"/>
        </w:rPr>
      </w:pPr>
      <w:r>
        <w:rPr>
          <w:rFonts w:hint="eastAsia"/>
          <w:b/>
          <w:bCs/>
          <w:color w:val="auto"/>
          <w:kern w:val="0"/>
          <w:sz w:val="24"/>
          <w:szCs w:val="24"/>
          <w:highlight w:val="none"/>
          <w:lang w:eastAsia="zh-CN"/>
        </w:rPr>
        <w:t>（</w:t>
      </w:r>
      <w:r>
        <w:rPr>
          <w:b/>
          <w:bCs/>
          <w:color w:val="auto"/>
          <w:kern w:val="0"/>
          <w:sz w:val="24"/>
          <w:szCs w:val="24"/>
          <w:highlight w:val="none"/>
        </w:rPr>
        <w:t>2</w:t>
      </w:r>
      <w:r>
        <w:rPr>
          <w:rFonts w:hint="eastAsia"/>
          <w:b/>
          <w:bCs/>
          <w:color w:val="auto"/>
          <w:kern w:val="0"/>
          <w:sz w:val="24"/>
          <w:szCs w:val="24"/>
          <w:highlight w:val="none"/>
          <w:lang w:eastAsia="zh-CN"/>
        </w:rPr>
        <w:t>）</w:t>
      </w:r>
      <w:r>
        <w:rPr>
          <w:b/>
          <w:bCs/>
          <w:color w:val="auto"/>
          <w:kern w:val="0"/>
          <w:sz w:val="24"/>
          <w:szCs w:val="24"/>
          <w:highlight w:val="none"/>
        </w:rPr>
        <w:t>毕业和授予学位标准</w:t>
      </w:r>
    </w:p>
    <w:p w14:paraId="0B52A76C">
      <w:pPr>
        <w:autoSpaceDE w:val="0"/>
        <w:autoSpaceDN w:val="0"/>
        <w:adjustRightInd w:val="0"/>
        <w:spacing w:line="360" w:lineRule="auto"/>
        <w:ind w:firstLine="470" w:firstLineChars="196"/>
        <w:rPr>
          <w:color w:val="auto"/>
          <w:sz w:val="24"/>
          <w:szCs w:val="24"/>
          <w:highlight w:val="none"/>
        </w:rPr>
      </w:pPr>
      <w:r>
        <w:rPr>
          <w:color w:val="auto"/>
          <w:sz w:val="24"/>
          <w:szCs w:val="24"/>
          <w:highlight w:val="none"/>
        </w:rPr>
        <w:t>修满规定学分</w:t>
      </w:r>
      <w:r>
        <w:rPr>
          <w:rFonts w:hint="eastAsia"/>
          <w:color w:val="auto"/>
          <w:sz w:val="24"/>
          <w:szCs w:val="24"/>
          <w:highlight w:val="none"/>
        </w:rPr>
        <w:t>，</w:t>
      </w:r>
      <w:bookmarkStart w:id="4" w:name="_GoBack"/>
      <w:r>
        <w:rPr>
          <w:color w:val="auto"/>
          <w:sz w:val="24"/>
          <w:szCs w:val="24"/>
          <w:highlight w:val="none"/>
        </w:rPr>
        <w:t>满足研究生</w:t>
      </w:r>
      <w:r>
        <w:rPr>
          <w:rFonts w:hint="eastAsia"/>
          <w:color w:val="auto"/>
          <w:sz w:val="24"/>
          <w:szCs w:val="24"/>
          <w:highlight w:val="none"/>
          <w:lang w:val="en-US" w:eastAsia="zh-CN"/>
        </w:rPr>
        <w:t>科研实践</w:t>
      </w:r>
      <w:r>
        <w:rPr>
          <w:color w:val="auto"/>
          <w:sz w:val="24"/>
          <w:szCs w:val="24"/>
          <w:highlight w:val="none"/>
        </w:rPr>
        <w:t>成果要求</w:t>
      </w:r>
      <w:r>
        <w:rPr>
          <w:rFonts w:hint="eastAsia"/>
          <w:color w:val="auto"/>
          <w:sz w:val="24"/>
          <w:szCs w:val="24"/>
          <w:highlight w:val="none"/>
          <w:lang w:val="en-US" w:eastAsia="zh-CN"/>
        </w:rPr>
        <w:t>，</w:t>
      </w:r>
      <w:bookmarkEnd w:id="4"/>
      <w:r>
        <w:rPr>
          <w:rFonts w:hint="eastAsia"/>
          <w:color w:val="auto"/>
          <w:sz w:val="24"/>
          <w:szCs w:val="24"/>
          <w:highlight w:val="none"/>
          <w:lang w:val="en-US" w:eastAsia="zh-CN"/>
        </w:rPr>
        <w:t>并通过</w:t>
      </w:r>
      <w:r>
        <w:rPr>
          <w:color w:val="auto"/>
          <w:sz w:val="24"/>
          <w:szCs w:val="24"/>
          <w:highlight w:val="none"/>
        </w:rPr>
        <w:t>学位论文答辩</w:t>
      </w:r>
      <w:r>
        <w:rPr>
          <w:rFonts w:hint="eastAsia"/>
          <w:color w:val="auto"/>
          <w:sz w:val="24"/>
          <w:szCs w:val="24"/>
          <w:highlight w:val="none"/>
          <w:lang w:val="en-US" w:eastAsia="zh-CN"/>
        </w:rPr>
        <w:t>或规定的实践成果答辩</w:t>
      </w:r>
      <w:r>
        <w:rPr>
          <w:color w:val="auto"/>
          <w:sz w:val="24"/>
          <w:szCs w:val="24"/>
          <w:highlight w:val="none"/>
        </w:rPr>
        <w:t>者，经校学位评定委员会审核批准后，授予其相应</w:t>
      </w:r>
      <w:r>
        <w:rPr>
          <w:rFonts w:hint="eastAsia"/>
          <w:color w:val="auto"/>
          <w:sz w:val="24"/>
          <w:szCs w:val="24"/>
          <w:highlight w:val="none"/>
          <w:lang w:val="en-US" w:eastAsia="zh-CN"/>
        </w:rPr>
        <w:t>硕士</w:t>
      </w:r>
      <w:r>
        <w:rPr>
          <w:color w:val="auto"/>
          <w:sz w:val="24"/>
          <w:szCs w:val="24"/>
          <w:highlight w:val="none"/>
        </w:rPr>
        <w:t>学位。毕业和授予学位标准按</w:t>
      </w:r>
      <w:r>
        <w:rPr>
          <w:rFonts w:hint="eastAsia"/>
          <w:color w:val="auto"/>
          <w:sz w:val="24"/>
          <w:szCs w:val="24"/>
          <w:highlight w:val="none"/>
          <w:lang w:val="en-US" w:eastAsia="zh-CN"/>
        </w:rPr>
        <w:t>学校相关文件</w:t>
      </w:r>
      <w:r>
        <w:rPr>
          <w:color w:val="auto"/>
          <w:sz w:val="24"/>
          <w:szCs w:val="24"/>
          <w:highlight w:val="none"/>
        </w:rPr>
        <w:t>执行。</w:t>
      </w:r>
    </w:p>
    <w:p w14:paraId="404171BF">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本指导意见由研究生院负责解释。</w:t>
      </w:r>
    </w:p>
    <w:p w14:paraId="1B251F79">
      <w:pPr>
        <w:spacing w:before="156" w:beforeLines="50" w:line="276" w:lineRule="auto"/>
        <w:jc w:val="both"/>
        <w:rPr>
          <w:rFonts w:hint="eastAsia" w:ascii="宋体" w:hAnsi="宋体" w:cs="宋体"/>
          <w:b w:val="0"/>
          <w:bCs w:val="0"/>
          <w:sz w:val="24"/>
          <w:szCs w:val="24"/>
          <w:lang w:val="en-US" w:eastAsia="zh-CN"/>
        </w:rPr>
      </w:pPr>
    </w:p>
    <w:p w14:paraId="12533493">
      <w:pPr>
        <w:spacing w:before="156" w:beforeLines="50" w:line="276" w:lineRule="auto"/>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附件：《上海电力大学研究生培养方案模板》</w:t>
      </w:r>
    </w:p>
    <w:p w14:paraId="43FA219F">
      <w:pPr>
        <w:spacing w:before="156" w:beforeLines="50" w:line="276" w:lineRule="auto"/>
        <w:jc w:val="both"/>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14:paraId="7BF0F8D3">
      <w:pPr>
        <w:spacing w:line="360" w:lineRule="auto"/>
        <w:rPr>
          <w:rFonts w:hint="default" w:ascii="宋体" w:hAnsi="宋体" w:cs="宋体"/>
          <w:b/>
          <w:bCs/>
          <w:sz w:val="24"/>
          <w:szCs w:val="24"/>
          <w:lang w:val="en-US" w:eastAsia="zh-CN"/>
        </w:rPr>
      </w:pPr>
    </w:p>
    <w:p w14:paraId="7B7A9CA7">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14:paraId="182793FA">
      <w:pPr>
        <w:spacing w:before="156" w:beforeLines="50" w:line="276" w:lineRule="auto"/>
        <w:jc w:val="both"/>
        <w:rPr>
          <w:rFonts w:hint="eastAsia" w:ascii="黑体" w:hAnsi="黑体" w:eastAsia="黑体"/>
          <w:b/>
          <w:bCs/>
          <w:sz w:val="32"/>
          <w:szCs w:val="32"/>
        </w:rPr>
      </w:pPr>
      <w:bookmarkStart w:id="3" w:name="_Toc330720044"/>
      <w:r>
        <w:rPr>
          <w:rFonts w:hint="eastAsia" w:ascii="黑体" w:hAnsi="黑体" w:eastAsia="黑体"/>
          <w:b/>
          <w:bCs/>
          <w:sz w:val="32"/>
          <w:szCs w:val="32"/>
          <w:lang w:val="en-US" w:eastAsia="zh-CN"/>
        </w:rPr>
        <w:t>附件：</w:t>
      </w:r>
    </w:p>
    <w:bookmarkEnd w:id="3"/>
    <w:p w14:paraId="00445ED4">
      <w:pPr>
        <w:jc w:val="center"/>
        <w:rPr>
          <w:rFonts w:hint="eastAsia" w:ascii="黑体" w:hAnsi="黑体" w:eastAsia="黑体"/>
          <w:sz w:val="28"/>
          <w:szCs w:val="28"/>
        </w:rPr>
      </w:pPr>
      <w:r>
        <w:rPr>
          <w:rFonts w:hint="eastAsia" w:ascii="黑体" w:hAnsi="黑体" w:eastAsia="黑体"/>
          <w:sz w:val="28"/>
          <w:szCs w:val="28"/>
        </w:rPr>
        <w:t>“</w:t>
      </w:r>
      <w:r>
        <w:rPr>
          <w:rFonts w:hint="eastAsia" w:ascii="黑体" w:hAnsi="黑体" w:eastAsia="黑体"/>
          <w:sz w:val="28"/>
          <w:szCs w:val="28"/>
          <w:lang w:val="en-US" w:eastAsia="zh-CN"/>
        </w:rPr>
        <w:t>****（专业代码）</w:t>
      </w:r>
      <w:r>
        <w:rPr>
          <w:rFonts w:hint="eastAsia" w:ascii="黑体" w:hAnsi="黑体" w:eastAsia="黑体"/>
          <w:sz w:val="28"/>
          <w:szCs w:val="28"/>
        </w:rPr>
        <w:t>”</w:t>
      </w:r>
      <w:r>
        <w:rPr>
          <w:rFonts w:hint="eastAsia" w:ascii="黑体" w:hAnsi="黑体" w:eastAsia="黑体"/>
          <w:sz w:val="28"/>
          <w:szCs w:val="28"/>
          <w:lang w:val="en-US" w:eastAsia="zh-CN"/>
        </w:rPr>
        <w:t>学术/</w:t>
      </w:r>
      <w:r>
        <w:rPr>
          <w:rFonts w:hint="eastAsia" w:ascii="黑体" w:hAnsi="黑体" w:eastAsia="黑体"/>
          <w:sz w:val="28"/>
          <w:szCs w:val="28"/>
        </w:rPr>
        <w:t>专业学位</w:t>
      </w:r>
      <w:r>
        <w:rPr>
          <w:rFonts w:hint="eastAsia" w:ascii="黑体" w:hAnsi="黑体" w:eastAsia="黑体"/>
          <w:sz w:val="28"/>
          <w:szCs w:val="28"/>
          <w:lang w:eastAsia="zh-CN"/>
        </w:rPr>
        <w:t>博士</w:t>
      </w:r>
      <w:r>
        <w:rPr>
          <w:rFonts w:hint="eastAsia" w:ascii="黑体" w:hAnsi="黑体" w:eastAsia="黑体"/>
          <w:sz w:val="28"/>
          <w:szCs w:val="28"/>
          <w:lang w:val="en-US" w:eastAsia="zh-CN"/>
        </w:rPr>
        <w:t>/</w:t>
      </w:r>
      <w:r>
        <w:rPr>
          <w:rFonts w:hint="eastAsia" w:ascii="黑体" w:hAnsi="黑体" w:eastAsia="黑体"/>
          <w:sz w:val="28"/>
          <w:szCs w:val="28"/>
        </w:rPr>
        <w:t>硕士研究生培养方案</w:t>
      </w:r>
    </w:p>
    <w:p w14:paraId="4AFDA8BE">
      <w:pPr>
        <w:jc w:val="center"/>
        <w:rPr>
          <w:rFonts w:hint="eastAsia" w:ascii="黑体" w:hAnsi="黑体" w:eastAsia="黑体"/>
          <w:sz w:val="28"/>
          <w:szCs w:val="28"/>
        </w:rPr>
      </w:pPr>
      <w:r>
        <w:rPr>
          <w:rFonts w:hint="eastAsia" w:ascii="黑体" w:hAnsi="黑体" w:eastAsia="黑体"/>
          <w:sz w:val="28"/>
          <w:szCs w:val="28"/>
        </w:rPr>
        <w:t>（黑体，四号）</w:t>
      </w:r>
    </w:p>
    <w:p w14:paraId="158B736C">
      <w:pPr>
        <w:jc w:val="left"/>
        <w:rPr>
          <w:rFonts w:hint="default" w:ascii="黑体" w:hAnsi="黑体" w:eastAsia="黑体"/>
          <w:sz w:val="28"/>
          <w:szCs w:val="28"/>
          <w:highlight w:val="yellow"/>
          <w:lang w:val="en-US" w:eastAsia="zh-CN"/>
        </w:rPr>
      </w:pPr>
      <w:r>
        <w:rPr>
          <w:rFonts w:hint="eastAsia" w:ascii="黑体" w:hAnsi="黑体" w:eastAsia="黑体"/>
          <w:sz w:val="28"/>
          <w:szCs w:val="28"/>
          <w:highlight w:val="yellow"/>
          <w:lang w:val="en-US" w:eastAsia="zh-CN"/>
        </w:rPr>
        <w:t>例如：   “英语笔译（055101）”专业学位硕士研究生培养方案</w:t>
      </w:r>
    </w:p>
    <w:p w14:paraId="588EFEFA">
      <w:pPr>
        <w:spacing w:line="360" w:lineRule="auto"/>
        <w:jc w:val="left"/>
        <w:rPr>
          <w:rFonts w:hint="eastAsia" w:ascii="黑体" w:hAnsi="黑体" w:eastAsia="黑体"/>
          <w:sz w:val="24"/>
        </w:rPr>
      </w:pPr>
      <w:r>
        <w:rPr>
          <w:rFonts w:hint="eastAsia" w:ascii="黑体" w:hAnsi="黑体" w:eastAsia="黑体"/>
          <w:sz w:val="24"/>
        </w:rPr>
        <w:t>（以下行间距1.5倍）</w:t>
      </w:r>
    </w:p>
    <w:p w14:paraId="5384D70D">
      <w:pPr>
        <w:spacing w:line="360" w:lineRule="auto"/>
        <w:jc w:val="left"/>
        <w:rPr>
          <w:rFonts w:hint="eastAsia" w:ascii="黑体" w:hAnsi="黑体" w:eastAsia="黑体"/>
          <w:sz w:val="24"/>
        </w:rPr>
      </w:pPr>
      <w:r>
        <w:rPr>
          <w:rFonts w:hint="eastAsia" w:ascii="黑体" w:hAnsi="黑体" w:eastAsia="黑体"/>
          <w:sz w:val="24"/>
        </w:rPr>
        <w:t>一、培养目标（黑体，小四）</w:t>
      </w:r>
    </w:p>
    <w:p w14:paraId="70A447ED">
      <w:pPr>
        <w:spacing w:line="360" w:lineRule="auto"/>
        <w:ind w:firstLine="420" w:firstLineChars="200"/>
        <w:rPr>
          <w:rFonts w:hint="eastAsia"/>
        </w:rPr>
      </w:pPr>
      <w:r>
        <w:rPr>
          <w:rFonts w:hint="eastAsia"/>
        </w:rPr>
        <w:t>正文（宋体，五号）</w:t>
      </w:r>
    </w:p>
    <w:p w14:paraId="5B8C211A">
      <w:pPr>
        <w:spacing w:line="360" w:lineRule="auto"/>
        <w:rPr>
          <w:rFonts w:hint="eastAsia" w:ascii="黑体" w:hAnsi="黑体" w:eastAsia="黑体"/>
          <w:sz w:val="24"/>
        </w:rPr>
      </w:pPr>
      <w:r>
        <w:rPr>
          <w:rFonts w:hint="eastAsia" w:ascii="黑体" w:hAnsi="黑体" w:eastAsia="黑体"/>
          <w:sz w:val="24"/>
        </w:rPr>
        <w:t>二、</w:t>
      </w:r>
      <w:r>
        <w:rPr>
          <w:rFonts w:hint="eastAsia" w:ascii="黑体" w:hAnsi="黑体" w:eastAsia="黑体"/>
          <w:sz w:val="24"/>
          <w:lang w:val="en-US" w:eastAsia="zh-CN"/>
        </w:rPr>
        <w:t>学制及</w:t>
      </w:r>
      <w:r>
        <w:rPr>
          <w:rFonts w:hint="eastAsia" w:ascii="黑体" w:hAnsi="黑体" w:eastAsia="黑体"/>
          <w:sz w:val="24"/>
        </w:rPr>
        <w:t>学习年限</w:t>
      </w:r>
    </w:p>
    <w:p w14:paraId="2F6C4FFD">
      <w:pPr>
        <w:spacing w:line="360" w:lineRule="auto"/>
        <w:rPr>
          <w:rFonts w:hint="eastAsia" w:ascii="黑体" w:hAnsi="黑体" w:eastAsia="黑体"/>
          <w:sz w:val="24"/>
        </w:rPr>
      </w:pPr>
      <w:r>
        <w:rPr>
          <w:rFonts w:hint="eastAsia" w:ascii="黑体" w:hAnsi="黑体" w:eastAsia="黑体"/>
          <w:sz w:val="24"/>
        </w:rPr>
        <w:t xml:space="preserve">    </w:t>
      </w:r>
      <w:r>
        <w:rPr>
          <w:rFonts w:hint="eastAsia"/>
        </w:rPr>
        <w:t>正文（宋体，五号）</w:t>
      </w:r>
    </w:p>
    <w:p w14:paraId="54469139">
      <w:pPr>
        <w:spacing w:line="360" w:lineRule="auto"/>
        <w:rPr>
          <w:rFonts w:hint="eastAsia" w:ascii="黑体" w:hAnsi="黑体" w:eastAsia="黑体"/>
          <w:sz w:val="24"/>
        </w:rPr>
      </w:pPr>
      <w:r>
        <w:rPr>
          <w:rFonts w:hint="eastAsia" w:ascii="黑体" w:hAnsi="黑体" w:eastAsia="黑体"/>
          <w:sz w:val="24"/>
        </w:rPr>
        <w:t>三、研究方向（黑体，小四）</w:t>
      </w:r>
    </w:p>
    <w:p w14:paraId="069B7893">
      <w:pPr>
        <w:spacing w:line="360" w:lineRule="auto"/>
        <w:rPr>
          <w:rFonts w:hint="eastAsia" w:ascii="黑体" w:hAnsi="黑体" w:eastAsia="黑体"/>
          <w:sz w:val="24"/>
        </w:rPr>
      </w:pPr>
      <w:r>
        <w:rPr>
          <w:rFonts w:hint="eastAsia" w:ascii="黑体" w:hAnsi="黑体" w:eastAsia="黑体"/>
          <w:sz w:val="24"/>
        </w:rPr>
        <w:t xml:space="preserve">    </w:t>
      </w:r>
      <w:r>
        <w:rPr>
          <w:rFonts w:hint="eastAsia"/>
        </w:rPr>
        <w:t>正文（宋体，五号）</w:t>
      </w:r>
    </w:p>
    <w:p w14:paraId="5A7CE5A5">
      <w:pPr>
        <w:spacing w:line="360" w:lineRule="auto"/>
        <w:rPr>
          <w:rFonts w:hint="eastAsia" w:ascii="黑体" w:hAnsi="黑体" w:eastAsia="黑体"/>
          <w:sz w:val="24"/>
        </w:rPr>
      </w:pPr>
      <w:r>
        <w:rPr>
          <w:rFonts w:hint="eastAsia" w:ascii="黑体" w:hAnsi="黑体" w:eastAsia="黑体"/>
          <w:sz w:val="24"/>
        </w:rPr>
        <w:t>四、培养方式（黑体，小四）</w:t>
      </w:r>
    </w:p>
    <w:p w14:paraId="0EA4709E">
      <w:pPr>
        <w:spacing w:line="360" w:lineRule="auto"/>
        <w:rPr>
          <w:rFonts w:hint="eastAsia" w:ascii="黑体" w:hAnsi="黑体" w:eastAsia="黑体"/>
          <w:sz w:val="24"/>
        </w:rPr>
      </w:pPr>
      <w:r>
        <w:rPr>
          <w:rFonts w:hint="eastAsia" w:ascii="黑体" w:hAnsi="黑体" w:eastAsia="黑体"/>
          <w:sz w:val="24"/>
        </w:rPr>
        <w:t xml:space="preserve">    </w:t>
      </w:r>
      <w:r>
        <w:rPr>
          <w:rFonts w:hint="eastAsia"/>
        </w:rPr>
        <w:t>正文（宋体，五号）</w:t>
      </w:r>
    </w:p>
    <w:p w14:paraId="5F084890">
      <w:pPr>
        <w:spacing w:line="360" w:lineRule="auto"/>
        <w:rPr>
          <w:rFonts w:hint="eastAsia" w:ascii="黑体" w:hAnsi="黑体" w:eastAsia="黑体"/>
          <w:sz w:val="24"/>
        </w:rPr>
      </w:pPr>
      <w:r>
        <w:rPr>
          <w:rFonts w:hint="eastAsia" w:ascii="黑体" w:hAnsi="黑体" w:eastAsia="黑体"/>
          <w:sz w:val="24"/>
        </w:rPr>
        <w:t>五、课程设置及学分</w:t>
      </w:r>
    </w:p>
    <w:p w14:paraId="0807F869">
      <w:pPr>
        <w:spacing w:line="360" w:lineRule="auto"/>
        <w:ind w:firstLine="420" w:firstLineChars="200"/>
        <w:rPr>
          <w:rFonts w:hint="eastAsia"/>
        </w:rPr>
      </w:pPr>
      <w:r>
        <w:rPr>
          <w:rFonts w:hint="eastAsia"/>
        </w:rPr>
        <w:t>正文（宋体，五号）</w:t>
      </w:r>
    </w:p>
    <w:p w14:paraId="34AC822C">
      <w:pPr>
        <w:spacing w:line="360" w:lineRule="auto"/>
        <w:ind w:firstLine="420" w:firstLineChars="200"/>
        <w:rPr>
          <w:rFonts w:hint="eastAsia" w:ascii="黑体" w:hAnsi="黑体" w:eastAsia="黑体"/>
          <w:sz w:val="21"/>
          <w:szCs w:val="21"/>
          <w:lang w:val="en-US" w:eastAsia="zh-CN"/>
        </w:rPr>
      </w:pPr>
      <w:r>
        <w:rPr>
          <w:rFonts w:hint="eastAsia" w:ascii="黑体" w:hAnsi="黑体" w:eastAsia="黑体"/>
          <w:sz w:val="21"/>
          <w:szCs w:val="21"/>
          <w:lang w:val="en-US" w:eastAsia="zh-CN"/>
        </w:rPr>
        <w:t>（一）最低学分要求</w:t>
      </w:r>
    </w:p>
    <w:p w14:paraId="08DD47B8">
      <w:pPr>
        <w:spacing w:line="360" w:lineRule="auto"/>
        <w:ind w:firstLine="420" w:firstLineChars="200"/>
        <w:rPr>
          <w:rFonts w:hint="default" w:ascii="黑体" w:hAnsi="黑体" w:eastAsia="黑体"/>
          <w:sz w:val="21"/>
          <w:szCs w:val="21"/>
          <w:lang w:val="en-US" w:eastAsia="zh-CN"/>
        </w:rPr>
      </w:pPr>
      <w:r>
        <w:rPr>
          <w:rFonts w:hint="eastAsia" w:ascii="黑体" w:hAnsi="黑体" w:eastAsia="黑体"/>
          <w:sz w:val="21"/>
          <w:szCs w:val="21"/>
          <w:lang w:val="en-US" w:eastAsia="zh-CN"/>
        </w:rPr>
        <w:t>（二）课程及学分设置</w:t>
      </w:r>
    </w:p>
    <w:p w14:paraId="2505D23B">
      <w:pPr>
        <w:spacing w:line="360" w:lineRule="auto"/>
        <w:jc w:val="center"/>
        <w:rPr>
          <w:rFonts w:hint="eastAsia" w:ascii="黑体" w:hAnsi="黑体" w:eastAsia="黑体"/>
          <w:sz w:val="21"/>
          <w:szCs w:val="21"/>
        </w:rPr>
      </w:pPr>
      <w:r>
        <w:rPr>
          <w:rFonts w:hint="eastAsia" w:ascii="黑体" w:hAnsi="黑体" w:eastAsia="黑体"/>
          <w:sz w:val="21"/>
          <w:szCs w:val="21"/>
        </w:rPr>
        <w:t>**</w:t>
      </w:r>
      <w:r>
        <w:rPr>
          <w:rFonts w:hint="eastAsia" w:ascii="黑体" w:hAnsi="黑体" w:eastAsia="黑体"/>
          <w:sz w:val="21"/>
          <w:szCs w:val="21"/>
          <w:lang w:val="en-US" w:eastAsia="zh-CN"/>
        </w:rPr>
        <w:t>专业博士/硕士</w:t>
      </w:r>
      <w:r>
        <w:rPr>
          <w:rFonts w:hint="eastAsia" w:ascii="黑体" w:hAnsi="黑体" w:eastAsia="黑体"/>
          <w:sz w:val="21"/>
          <w:szCs w:val="21"/>
        </w:rPr>
        <w:t>研究生课程及学分设置</w:t>
      </w:r>
    </w:p>
    <w:tbl>
      <w:tblPr>
        <w:tblStyle w:val="5"/>
        <w:tblW w:w="850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134"/>
        <w:gridCol w:w="3686"/>
        <w:gridCol w:w="708"/>
        <w:gridCol w:w="709"/>
        <w:gridCol w:w="851"/>
      </w:tblGrid>
      <w:tr w14:paraId="2EEA67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1417" w:type="dxa"/>
            <w:noWrap w:val="0"/>
            <w:vAlign w:val="center"/>
          </w:tcPr>
          <w:p w14:paraId="29953BF6">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课程类别</w:t>
            </w:r>
          </w:p>
          <w:p w14:paraId="79496CA9">
            <w:pPr>
              <w:pStyle w:val="8"/>
              <w:spacing w:line="240" w:lineRule="auto"/>
              <w:rPr>
                <w:rFonts w:hint="default" w:ascii="Times New Roman" w:hAnsi="Times New Roman" w:cs="Times New Roman"/>
                <w:sz w:val="18"/>
                <w:szCs w:val="18"/>
              </w:rPr>
            </w:pPr>
            <w:r>
              <w:rPr>
                <w:rFonts w:hint="default" w:ascii="Times New Roman" w:hAnsi="Times New Roman" w:cs="Times New Roman"/>
              </w:rPr>
              <w:t>≥32学分</w:t>
            </w:r>
          </w:p>
        </w:tc>
        <w:tc>
          <w:tcPr>
            <w:tcW w:w="1134" w:type="dxa"/>
            <w:noWrap w:val="0"/>
            <w:vAlign w:val="center"/>
          </w:tcPr>
          <w:p w14:paraId="503DC7F3">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课程编号</w:t>
            </w:r>
          </w:p>
        </w:tc>
        <w:tc>
          <w:tcPr>
            <w:tcW w:w="3686" w:type="dxa"/>
            <w:noWrap w:val="0"/>
            <w:vAlign w:val="center"/>
          </w:tcPr>
          <w:p w14:paraId="064DFA02">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课程名称（中英文）</w:t>
            </w:r>
          </w:p>
        </w:tc>
        <w:tc>
          <w:tcPr>
            <w:tcW w:w="708" w:type="dxa"/>
            <w:noWrap w:val="0"/>
            <w:vAlign w:val="center"/>
          </w:tcPr>
          <w:p w14:paraId="0DE22B02">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学分</w:t>
            </w:r>
          </w:p>
        </w:tc>
        <w:tc>
          <w:tcPr>
            <w:tcW w:w="709" w:type="dxa"/>
            <w:noWrap w:val="0"/>
            <w:vAlign w:val="center"/>
          </w:tcPr>
          <w:p w14:paraId="27CEB3D7">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学期</w:t>
            </w:r>
          </w:p>
        </w:tc>
        <w:tc>
          <w:tcPr>
            <w:tcW w:w="851" w:type="dxa"/>
            <w:noWrap w:val="0"/>
            <w:vAlign w:val="center"/>
          </w:tcPr>
          <w:p w14:paraId="0AAABB72">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备注</w:t>
            </w:r>
          </w:p>
        </w:tc>
      </w:tr>
      <w:tr w14:paraId="4D4E87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417" w:type="dxa"/>
            <w:vMerge w:val="restart"/>
            <w:noWrap w:val="0"/>
            <w:vAlign w:val="center"/>
          </w:tcPr>
          <w:p w14:paraId="07397915">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公共必修</w:t>
            </w:r>
          </w:p>
          <w:p w14:paraId="2F5F971F">
            <w:pPr>
              <w:pStyle w:val="8"/>
              <w:spacing w:line="240" w:lineRule="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学分</w:t>
            </w:r>
          </w:p>
        </w:tc>
        <w:tc>
          <w:tcPr>
            <w:tcW w:w="1134" w:type="dxa"/>
            <w:noWrap w:val="0"/>
            <w:vAlign w:val="center"/>
          </w:tcPr>
          <w:p w14:paraId="5B6CD2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FF"/>
                <w:kern w:val="2"/>
                <w:sz w:val="18"/>
                <w:szCs w:val="18"/>
                <w:highlight w:val="none"/>
                <w:lang w:val="en-US" w:eastAsia="zh-CN" w:bidi="ar-SA"/>
              </w:rPr>
            </w:pPr>
            <w:r>
              <w:rPr>
                <w:rFonts w:hint="default" w:ascii="Times New Roman" w:hAnsi="Times New Roman" w:eastAsia="等线" w:cs="Times New Roman"/>
                <w:color w:val="0000FF"/>
                <w:sz w:val="18"/>
                <w:szCs w:val="18"/>
                <w:highlight w:val="none"/>
              </w:rPr>
              <w:t>10D5001</w:t>
            </w:r>
          </w:p>
        </w:tc>
        <w:tc>
          <w:tcPr>
            <w:tcW w:w="3686" w:type="dxa"/>
            <w:noWrap w:val="0"/>
            <w:vAlign w:val="center"/>
          </w:tcPr>
          <w:p w14:paraId="6A2A50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FF"/>
                <w:sz w:val="18"/>
                <w:szCs w:val="18"/>
                <w:highlight w:val="none"/>
              </w:rPr>
            </w:pPr>
            <w:r>
              <w:rPr>
                <w:rFonts w:hint="eastAsia" w:ascii="Times New Roman" w:hAnsi="Times New Roman" w:cs="Times New Roman"/>
                <w:color w:val="0000FF"/>
                <w:sz w:val="18"/>
                <w:szCs w:val="18"/>
                <w:highlight w:val="none"/>
                <w:lang w:val="en-US" w:eastAsia="zh-CN"/>
              </w:rPr>
              <w:t>例：</w:t>
            </w:r>
            <w:r>
              <w:rPr>
                <w:rFonts w:hint="default" w:ascii="Times New Roman" w:hAnsi="Times New Roman" w:cs="Times New Roman"/>
                <w:color w:val="0000FF"/>
                <w:sz w:val="18"/>
                <w:szCs w:val="18"/>
                <w:highlight w:val="none"/>
              </w:rPr>
              <w:t>中国马克思主义与当代</w:t>
            </w:r>
          </w:p>
          <w:p w14:paraId="29968C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FF"/>
                <w:kern w:val="2"/>
                <w:sz w:val="18"/>
                <w:szCs w:val="18"/>
                <w:highlight w:val="none"/>
                <w:lang w:val="en-US" w:eastAsia="zh-CN" w:bidi="ar-SA"/>
              </w:rPr>
            </w:pPr>
            <w:r>
              <w:rPr>
                <w:rFonts w:hint="default" w:ascii="Times New Roman" w:hAnsi="Times New Roman" w:cs="Times New Roman"/>
                <w:bCs/>
                <w:color w:val="0000FF"/>
                <w:sz w:val="18"/>
                <w:szCs w:val="18"/>
                <w:highlight w:val="none"/>
              </w:rPr>
              <w:t>Development History of Marxist Ideological</w:t>
            </w:r>
          </w:p>
        </w:tc>
        <w:tc>
          <w:tcPr>
            <w:tcW w:w="708" w:type="dxa"/>
            <w:noWrap w:val="0"/>
            <w:vAlign w:val="center"/>
          </w:tcPr>
          <w:p w14:paraId="331524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FF"/>
                <w:kern w:val="2"/>
                <w:sz w:val="18"/>
                <w:szCs w:val="18"/>
                <w:highlight w:val="none"/>
                <w:lang w:val="en-US" w:eastAsia="zh-CN" w:bidi="ar-SA"/>
              </w:rPr>
            </w:pPr>
            <w:r>
              <w:rPr>
                <w:rFonts w:hint="default" w:ascii="Times New Roman" w:hAnsi="Times New Roman" w:cs="Times New Roman"/>
                <w:color w:val="0000FF"/>
                <w:sz w:val="18"/>
                <w:szCs w:val="18"/>
                <w:highlight w:val="none"/>
              </w:rPr>
              <w:t>2</w:t>
            </w:r>
          </w:p>
        </w:tc>
        <w:tc>
          <w:tcPr>
            <w:tcW w:w="709" w:type="dxa"/>
            <w:noWrap w:val="0"/>
            <w:vAlign w:val="center"/>
          </w:tcPr>
          <w:p w14:paraId="69BAF7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FF"/>
                <w:kern w:val="2"/>
                <w:sz w:val="18"/>
                <w:szCs w:val="18"/>
                <w:highlight w:val="none"/>
                <w:lang w:val="en-US" w:eastAsia="zh-CN" w:bidi="ar-SA"/>
              </w:rPr>
            </w:pPr>
            <w:r>
              <w:rPr>
                <w:rFonts w:hint="default" w:ascii="Times New Roman" w:hAnsi="Times New Roman" w:cs="Times New Roman"/>
                <w:color w:val="0000FF"/>
                <w:sz w:val="18"/>
                <w:szCs w:val="18"/>
                <w:highlight w:val="none"/>
              </w:rPr>
              <w:t>1</w:t>
            </w:r>
          </w:p>
        </w:tc>
        <w:tc>
          <w:tcPr>
            <w:tcW w:w="851" w:type="dxa"/>
            <w:noWrap w:val="0"/>
            <w:vAlign w:val="center"/>
          </w:tcPr>
          <w:p w14:paraId="5C6F83C3">
            <w:pPr>
              <w:pStyle w:val="8"/>
              <w:spacing w:line="240" w:lineRule="auto"/>
              <w:jc w:val="center"/>
              <w:rPr>
                <w:rFonts w:hint="default" w:ascii="Times New Roman" w:hAnsi="Times New Roman" w:eastAsia="宋体" w:cs="Times New Roman"/>
                <w:color w:val="0000FF"/>
                <w:sz w:val="18"/>
                <w:szCs w:val="18"/>
                <w:lang w:val="en-US" w:eastAsia="zh-CN"/>
              </w:rPr>
            </w:pPr>
            <w:r>
              <w:rPr>
                <w:rFonts w:hint="default" w:ascii="Times New Roman" w:hAnsi="Times New Roman" w:cs="Times New Roman"/>
                <w:color w:val="0000FF"/>
                <w:sz w:val="18"/>
                <w:szCs w:val="18"/>
                <w:lang w:val="en-US" w:eastAsia="zh-CN"/>
              </w:rPr>
              <w:t>博士</w:t>
            </w:r>
          </w:p>
        </w:tc>
      </w:tr>
      <w:tr w14:paraId="6FDE1A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417" w:type="dxa"/>
            <w:vMerge w:val="continue"/>
            <w:noWrap w:val="0"/>
            <w:vAlign w:val="center"/>
          </w:tcPr>
          <w:p w14:paraId="10C5F269">
            <w:pPr>
              <w:pStyle w:val="8"/>
              <w:spacing w:line="240" w:lineRule="auto"/>
              <w:rPr>
                <w:rFonts w:hint="default" w:ascii="Times New Roman" w:hAnsi="Times New Roman" w:cs="Times New Roman"/>
                <w:sz w:val="18"/>
                <w:szCs w:val="18"/>
              </w:rPr>
            </w:pPr>
          </w:p>
        </w:tc>
        <w:tc>
          <w:tcPr>
            <w:tcW w:w="1134" w:type="dxa"/>
            <w:noWrap w:val="0"/>
            <w:vAlign w:val="center"/>
          </w:tcPr>
          <w:p w14:paraId="1D1ED1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FF"/>
                <w:kern w:val="2"/>
                <w:sz w:val="18"/>
                <w:szCs w:val="18"/>
                <w:highlight w:val="none"/>
                <w:lang w:val="en-US" w:eastAsia="zh-CN" w:bidi="ar-SA"/>
              </w:rPr>
            </w:pPr>
          </w:p>
        </w:tc>
        <w:tc>
          <w:tcPr>
            <w:tcW w:w="3686" w:type="dxa"/>
            <w:noWrap w:val="0"/>
            <w:vAlign w:val="center"/>
          </w:tcPr>
          <w:p w14:paraId="0C2BF2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FF"/>
                <w:kern w:val="2"/>
                <w:sz w:val="18"/>
                <w:szCs w:val="18"/>
                <w:highlight w:val="none"/>
                <w:lang w:val="en-US" w:eastAsia="zh-CN" w:bidi="ar-SA"/>
              </w:rPr>
            </w:pPr>
          </w:p>
        </w:tc>
        <w:tc>
          <w:tcPr>
            <w:tcW w:w="708" w:type="dxa"/>
            <w:noWrap w:val="0"/>
            <w:vAlign w:val="center"/>
          </w:tcPr>
          <w:p w14:paraId="38712F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FF"/>
                <w:kern w:val="2"/>
                <w:sz w:val="18"/>
                <w:szCs w:val="18"/>
                <w:highlight w:val="none"/>
                <w:lang w:val="en-US" w:eastAsia="zh-CN" w:bidi="ar-SA"/>
              </w:rPr>
            </w:pPr>
          </w:p>
        </w:tc>
        <w:tc>
          <w:tcPr>
            <w:tcW w:w="709" w:type="dxa"/>
            <w:noWrap w:val="0"/>
            <w:vAlign w:val="center"/>
          </w:tcPr>
          <w:p w14:paraId="3E5454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FF"/>
                <w:kern w:val="2"/>
                <w:sz w:val="18"/>
                <w:szCs w:val="18"/>
                <w:highlight w:val="none"/>
                <w:lang w:val="en-US" w:eastAsia="zh-CN" w:bidi="ar-SA"/>
              </w:rPr>
            </w:pPr>
          </w:p>
        </w:tc>
        <w:tc>
          <w:tcPr>
            <w:tcW w:w="851" w:type="dxa"/>
            <w:noWrap w:val="0"/>
            <w:vAlign w:val="center"/>
          </w:tcPr>
          <w:p w14:paraId="20CF6E77">
            <w:pPr>
              <w:pStyle w:val="8"/>
              <w:spacing w:line="240" w:lineRule="auto"/>
              <w:jc w:val="center"/>
              <w:rPr>
                <w:rFonts w:hint="default" w:ascii="Times New Roman" w:hAnsi="Times New Roman" w:cs="Times New Roman"/>
                <w:color w:val="0000FF"/>
                <w:sz w:val="18"/>
                <w:szCs w:val="18"/>
                <w:lang w:val="en-US" w:eastAsia="zh-CN"/>
              </w:rPr>
            </w:pPr>
          </w:p>
        </w:tc>
      </w:tr>
      <w:tr w14:paraId="5A04DB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417" w:type="dxa"/>
            <w:vMerge w:val="continue"/>
            <w:noWrap w:val="0"/>
            <w:vAlign w:val="center"/>
          </w:tcPr>
          <w:p w14:paraId="5E2B1105">
            <w:pPr>
              <w:pStyle w:val="8"/>
              <w:spacing w:line="240" w:lineRule="auto"/>
              <w:rPr>
                <w:rFonts w:hint="default" w:ascii="Times New Roman" w:hAnsi="Times New Roman" w:cs="Times New Roman"/>
                <w:sz w:val="18"/>
                <w:szCs w:val="18"/>
              </w:rPr>
            </w:pPr>
          </w:p>
        </w:tc>
        <w:tc>
          <w:tcPr>
            <w:tcW w:w="1134" w:type="dxa"/>
            <w:noWrap w:val="0"/>
            <w:vAlign w:val="center"/>
          </w:tcPr>
          <w:p w14:paraId="59AEB5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FF"/>
                <w:kern w:val="2"/>
                <w:sz w:val="18"/>
                <w:szCs w:val="18"/>
                <w:highlight w:val="none"/>
                <w:lang w:val="en-US" w:eastAsia="zh-CN" w:bidi="ar-SA"/>
              </w:rPr>
            </w:pPr>
          </w:p>
        </w:tc>
        <w:tc>
          <w:tcPr>
            <w:tcW w:w="3686" w:type="dxa"/>
            <w:noWrap w:val="0"/>
            <w:vAlign w:val="center"/>
          </w:tcPr>
          <w:p w14:paraId="1A70D9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Cs/>
                <w:color w:val="0000FF"/>
                <w:kern w:val="2"/>
                <w:sz w:val="18"/>
                <w:szCs w:val="18"/>
                <w:highlight w:val="yellow"/>
                <w:lang w:val="en-US" w:eastAsia="zh-CN" w:bidi="ar-SA"/>
              </w:rPr>
            </w:pPr>
          </w:p>
        </w:tc>
        <w:tc>
          <w:tcPr>
            <w:tcW w:w="708" w:type="dxa"/>
            <w:noWrap w:val="0"/>
            <w:vAlign w:val="center"/>
          </w:tcPr>
          <w:p w14:paraId="75173D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FF"/>
                <w:kern w:val="2"/>
                <w:sz w:val="18"/>
                <w:szCs w:val="18"/>
                <w:highlight w:val="yellow"/>
                <w:lang w:val="en-US" w:eastAsia="zh-CN" w:bidi="ar-SA"/>
              </w:rPr>
            </w:pPr>
          </w:p>
        </w:tc>
        <w:tc>
          <w:tcPr>
            <w:tcW w:w="709" w:type="dxa"/>
            <w:noWrap w:val="0"/>
            <w:vAlign w:val="center"/>
          </w:tcPr>
          <w:p w14:paraId="26A2CB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FF"/>
                <w:kern w:val="2"/>
                <w:sz w:val="18"/>
                <w:szCs w:val="18"/>
                <w:highlight w:val="yellow"/>
                <w:lang w:val="en-US" w:eastAsia="zh-CN" w:bidi="ar-SA"/>
              </w:rPr>
            </w:pPr>
          </w:p>
        </w:tc>
        <w:tc>
          <w:tcPr>
            <w:tcW w:w="851" w:type="dxa"/>
            <w:noWrap w:val="0"/>
            <w:vAlign w:val="center"/>
          </w:tcPr>
          <w:p w14:paraId="719D222A">
            <w:pPr>
              <w:pStyle w:val="8"/>
              <w:spacing w:line="240" w:lineRule="auto"/>
              <w:jc w:val="center"/>
              <w:rPr>
                <w:rFonts w:hint="default" w:ascii="Times New Roman" w:hAnsi="Times New Roman" w:cs="Times New Roman"/>
                <w:color w:val="0000FF"/>
                <w:sz w:val="18"/>
                <w:szCs w:val="18"/>
                <w:highlight w:val="yellow"/>
                <w:lang w:val="en-US" w:eastAsia="zh-CN"/>
              </w:rPr>
            </w:pPr>
          </w:p>
        </w:tc>
      </w:tr>
      <w:tr w14:paraId="342E8B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417" w:type="dxa"/>
            <w:vMerge w:val="continue"/>
            <w:noWrap w:val="0"/>
            <w:vAlign w:val="center"/>
          </w:tcPr>
          <w:p w14:paraId="7BF2791E">
            <w:pPr>
              <w:pStyle w:val="8"/>
              <w:spacing w:line="240" w:lineRule="auto"/>
              <w:rPr>
                <w:rFonts w:hint="default" w:ascii="Times New Roman" w:hAnsi="Times New Roman" w:cs="Times New Roman"/>
                <w:sz w:val="18"/>
                <w:szCs w:val="18"/>
              </w:rPr>
            </w:pPr>
          </w:p>
        </w:tc>
        <w:tc>
          <w:tcPr>
            <w:tcW w:w="1134" w:type="dxa"/>
            <w:noWrap w:val="0"/>
            <w:vAlign w:val="center"/>
          </w:tcPr>
          <w:p w14:paraId="176854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等线" w:cs="Times New Roman"/>
                <w:color w:val="0000FF"/>
                <w:sz w:val="18"/>
                <w:szCs w:val="18"/>
                <w:highlight w:val="none"/>
                <w:lang w:val="en-US" w:eastAsia="zh-CN"/>
              </w:rPr>
            </w:pPr>
          </w:p>
        </w:tc>
        <w:tc>
          <w:tcPr>
            <w:tcW w:w="3686" w:type="dxa"/>
            <w:noWrap w:val="0"/>
            <w:vAlign w:val="center"/>
          </w:tcPr>
          <w:p w14:paraId="449765A5">
            <w:pPr>
              <w:pStyle w:val="8"/>
              <w:spacing w:line="240" w:lineRule="auto"/>
              <w:rPr>
                <w:rFonts w:hint="default" w:ascii="Times New Roman" w:hAnsi="Times New Roman" w:cs="Times New Roman"/>
                <w:color w:val="0000FF"/>
                <w:kern w:val="2"/>
                <w:sz w:val="21"/>
                <w:szCs w:val="21"/>
                <w:lang w:val="en-US" w:eastAsia="zh-CN" w:bidi="ar-SA"/>
              </w:rPr>
            </w:pPr>
          </w:p>
        </w:tc>
        <w:tc>
          <w:tcPr>
            <w:tcW w:w="708" w:type="dxa"/>
            <w:noWrap w:val="0"/>
            <w:vAlign w:val="center"/>
          </w:tcPr>
          <w:p w14:paraId="1BBCC7A2">
            <w:pPr>
              <w:pStyle w:val="8"/>
              <w:spacing w:line="240" w:lineRule="auto"/>
              <w:rPr>
                <w:rFonts w:hint="default" w:ascii="Times New Roman" w:hAnsi="Times New Roman" w:eastAsia="宋体" w:cs="Times New Roman"/>
                <w:color w:val="0000FF"/>
                <w:kern w:val="2"/>
                <w:sz w:val="18"/>
                <w:szCs w:val="18"/>
                <w:lang w:val="en-US" w:eastAsia="zh-CN" w:bidi="ar-SA"/>
              </w:rPr>
            </w:pPr>
          </w:p>
        </w:tc>
        <w:tc>
          <w:tcPr>
            <w:tcW w:w="709" w:type="dxa"/>
            <w:noWrap w:val="0"/>
            <w:vAlign w:val="center"/>
          </w:tcPr>
          <w:p w14:paraId="06FA2416">
            <w:pPr>
              <w:pStyle w:val="8"/>
              <w:spacing w:line="240" w:lineRule="auto"/>
              <w:rPr>
                <w:rFonts w:hint="default" w:ascii="Times New Roman" w:hAnsi="Times New Roman" w:eastAsia="宋体" w:cs="Times New Roman"/>
                <w:color w:val="0000FF"/>
                <w:kern w:val="2"/>
                <w:sz w:val="18"/>
                <w:szCs w:val="18"/>
                <w:lang w:val="en-US" w:eastAsia="zh-CN" w:bidi="ar-SA"/>
              </w:rPr>
            </w:pPr>
          </w:p>
        </w:tc>
        <w:tc>
          <w:tcPr>
            <w:tcW w:w="851" w:type="dxa"/>
            <w:noWrap w:val="0"/>
            <w:vAlign w:val="center"/>
          </w:tcPr>
          <w:p w14:paraId="43562177">
            <w:pPr>
              <w:pStyle w:val="8"/>
              <w:spacing w:line="240" w:lineRule="auto"/>
              <w:jc w:val="center"/>
              <w:rPr>
                <w:rFonts w:hint="default" w:ascii="Times New Roman" w:hAnsi="Times New Roman" w:cs="Times New Roman"/>
                <w:color w:val="0000FF"/>
                <w:sz w:val="18"/>
                <w:szCs w:val="18"/>
                <w:lang w:val="en-US" w:eastAsia="zh-CN"/>
              </w:rPr>
            </w:pPr>
          </w:p>
        </w:tc>
      </w:tr>
      <w:tr w14:paraId="6259BB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417" w:type="dxa"/>
            <w:vMerge w:val="continue"/>
            <w:noWrap w:val="0"/>
            <w:vAlign w:val="center"/>
          </w:tcPr>
          <w:p w14:paraId="31815DBD">
            <w:pPr>
              <w:pStyle w:val="8"/>
              <w:spacing w:line="240" w:lineRule="auto"/>
              <w:rPr>
                <w:rFonts w:hint="default" w:ascii="Times New Roman" w:hAnsi="Times New Roman" w:cs="Times New Roman"/>
                <w:sz w:val="18"/>
                <w:szCs w:val="18"/>
              </w:rPr>
            </w:pPr>
          </w:p>
        </w:tc>
        <w:tc>
          <w:tcPr>
            <w:tcW w:w="1134" w:type="dxa"/>
            <w:noWrap w:val="0"/>
            <w:vAlign w:val="center"/>
          </w:tcPr>
          <w:p w14:paraId="0D2A4FDF">
            <w:pPr>
              <w:pStyle w:val="8"/>
              <w:spacing w:line="24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3686" w:type="dxa"/>
            <w:noWrap w:val="0"/>
            <w:vAlign w:val="center"/>
          </w:tcPr>
          <w:p w14:paraId="066E88FE">
            <w:pPr>
              <w:pStyle w:val="8"/>
              <w:spacing w:line="24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08" w:type="dxa"/>
            <w:noWrap w:val="0"/>
            <w:vAlign w:val="center"/>
          </w:tcPr>
          <w:p w14:paraId="05168314">
            <w:pPr>
              <w:pStyle w:val="8"/>
              <w:spacing w:line="240" w:lineRule="auto"/>
              <w:rPr>
                <w:rFonts w:hint="default" w:ascii="Times New Roman" w:hAnsi="Times New Roman" w:cs="Times New Roman"/>
                <w:sz w:val="18"/>
                <w:szCs w:val="18"/>
                <w:lang w:val="en-US" w:eastAsia="zh-CN"/>
              </w:rPr>
            </w:pPr>
          </w:p>
        </w:tc>
        <w:tc>
          <w:tcPr>
            <w:tcW w:w="709" w:type="dxa"/>
            <w:noWrap w:val="0"/>
            <w:vAlign w:val="center"/>
          </w:tcPr>
          <w:p w14:paraId="7F2D92D2">
            <w:pPr>
              <w:pStyle w:val="8"/>
              <w:spacing w:line="240" w:lineRule="auto"/>
              <w:rPr>
                <w:rFonts w:hint="default" w:ascii="Times New Roman" w:hAnsi="Times New Roman" w:cs="Times New Roman"/>
                <w:sz w:val="18"/>
                <w:szCs w:val="18"/>
                <w:lang w:val="en-US" w:eastAsia="zh-CN"/>
              </w:rPr>
            </w:pPr>
          </w:p>
        </w:tc>
        <w:tc>
          <w:tcPr>
            <w:tcW w:w="851" w:type="dxa"/>
            <w:noWrap w:val="0"/>
            <w:vAlign w:val="center"/>
          </w:tcPr>
          <w:p w14:paraId="5D7AA086">
            <w:pPr>
              <w:pStyle w:val="8"/>
              <w:spacing w:line="240" w:lineRule="auto"/>
              <w:rPr>
                <w:rFonts w:hint="default" w:ascii="Times New Roman" w:hAnsi="Times New Roman" w:cs="Times New Roman"/>
                <w:sz w:val="18"/>
                <w:szCs w:val="18"/>
              </w:rPr>
            </w:pPr>
          </w:p>
        </w:tc>
      </w:tr>
      <w:tr w14:paraId="0180FC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417" w:type="dxa"/>
            <w:vMerge w:val="restart"/>
            <w:noWrap w:val="0"/>
            <w:vAlign w:val="center"/>
          </w:tcPr>
          <w:p w14:paraId="2CBA2157">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专业基础</w:t>
            </w:r>
          </w:p>
          <w:p w14:paraId="2D1EC22B">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学分</w:t>
            </w:r>
          </w:p>
        </w:tc>
        <w:tc>
          <w:tcPr>
            <w:tcW w:w="1134" w:type="dxa"/>
            <w:noWrap w:val="0"/>
            <w:vAlign w:val="center"/>
          </w:tcPr>
          <w:p w14:paraId="3D0185F9">
            <w:pPr>
              <w:pStyle w:val="8"/>
              <w:spacing w:line="240" w:lineRule="auto"/>
              <w:rPr>
                <w:rFonts w:hint="default" w:ascii="Times New Roman" w:hAnsi="Times New Roman" w:cs="Times New Roman"/>
                <w:sz w:val="18"/>
                <w:szCs w:val="18"/>
              </w:rPr>
            </w:pPr>
          </w:p>
        </w:tc>
        <w:tc>
          <w:tcPr>
            <w:tcW w:w="3686" w:type="dxa"/>
            <w:noWrap w:val="0"/>
            <w:vAlign w:val="center"/>
          </w:tcPr>
          <w:p w14:paraId="1E026987">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数学类课程</w:t>
            </w:r>
          </w:p>
        </w:tc>
        <w:tc>
          <w:tcPr>
            <w:tcW w:w="708" w:type="dxa"/>
            <w:noWrap w:val="0"/>
            <w:vAlign w:val="center"/>
          </w:tcPr>
          <w:p w14:paraId="71FDF009">
            <w:pPr>
              <w:pStyle w:val="8"/>
              <w:spacing w:line="240" w:lineRule="auto"/>
              <w:rPr>
                <w:rFonts w:hint="default" w:ascii="Times New Roman" w:hAnsi="Times New Roman" w:cs="Times New Roman"/>
                <w:sz w:val="18"/>
                <w:szCs w:val="18"/>
              </w:rPr>
            </w:pPr>
          </w:p>
        </w:tc>
        <w:tc>
          <w:tcPr>
            <w:tcW w:w="709" w:type="dxa"/>
            <w:noWrap w:val="0"/>
            <w:vAlign w:val="center"/>
          </w:tcPr>
          <w:p w14:paraId="5CB81DBD">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1" w:type="dxa"/>
            <w:vMerge w:val="restart"/>
            <w:noWrap w:val="0"/>
            <w:vAlign w:val="center"/>
          </w:tcPr>
          <w:p w14:paraId="0C3EBAE9">
            <w:pPr>
              <w:pStyle w:val="8"/>
              <w:spacing w:line="240" w:lineRule="auto"/>
              <w:rPr>
                <w:rFonts w:hint="default" w:ascii="Times New Roman" w:hAnsi="Times New Roman" w:cs="Times New Roman"/>
                <w:sz w:val="18"/>
                <w:szCs w:val="18"/>
              </w:rPr>
            </w:pPr>
          </w:p>
        </w:tc>
      </w:tr>
      <w:tr w14:paraId="5EED0E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1417" w:type="dxa"/>
            <w:vMerge w:val="continue"/>
            <w:noWrap w:val="0"/>
            <w:vAlign w:val="center"/>
          </w:tcPr>
          <w:p w14:paraId="2AD40AFE">
            <w:pPr>
              <w:pStyle w:val="8"/>
              <w:spacing w:line="240" w:lineRule="auto"/>
              <w:rPr>
                <w:rFonts w:hint="default" w:ascii="Times New Roman" w:hAnsi="Times New Roman" w:cs="Times New Roman"/>
                <w:sz w:val="18"/>
                <w:szCs w:val="18"/>
              </w:rPr>
            </w:pPr>
          </w:p>
        </w:tc>
        <w:tc>
          <w:tcPr>
            <w:tcW w:w="1134" w:type="dxa"/>
            <w:noWrap w:val="0"/>
            <w:vAlign w:val="center"/>
          </w:tcPr>
          <w:p w14:paraId="413DC9E9">
            <w:pPr>
              <w:pStyle w:val="8"/>
              <w:spacing w:line="240" w:lineRule="auto"/>
              <w:rPr>
                <w:rFonts w:hint="default" w:ascii="Times New Roman" w:hAnsi="Times New Roman" w:cs="Times New Roman"/>
                <w:sz w:val="18"/>
                <w:szCs w:val="18"/>
              </w:rPr>
            </w:pPr>
          </w:p>
        </w:tc>
        <w:tc>
          <w:tcPr>
            <w:tcW w:w="3686" w:type="dxa"/>
            <w:noWrap w:val="0"/>
            <w:vAlign w:val="center"/>
          </w:tcPr>
          <w:p w14:paraId="1C7F6E63">
            <w:pPr>
              <w:pStyle w:val="8"/>
              <w:spacing w:line="240" w:lineRule="auto"/>
              <w:rPr>
                <w:rFonts w:hint="default" w:ascii="Times New Roman" w:hAnsi="Times New Roman" w:cs="Times New Roman"/>
                <w:color w:val="FF0000"/>
                <w:sz w:val="18"/>
                <w:szCs w:val="18"/>
              </w:rPr>
            </w:pPr>
            <w:r>
              <w:rPr>
                <w:rFonts w:hint="default" w:ascii="Times New Roman" w:hAnsi="Times New Roman" w:cs="Times New Roman"/>
                <w:sz w:val="18"/>
                <w:szCs w:val="18"/>
              </w:rPr>
              <w:t>一级学科专业课</w:t>
            </w:r>
            <w:r>
              <w:rPr>
                <w:rFonts w:hint="default" w:ascii="Times New Roman" w:hAnsi="Times New Roman" w:cs="Times New Roman"/>
                <w:b/>
                <w:bCs/>
                <w:color w:val="FF0000"/>
                <w:sz w:val="18"/>
                <w:szCs w:val="18"/>
                <w:highlight w:val="yellow"/>
              </w:rPr>
              <w:t>（请标明核心课程）</w:t>
            </w:r>
          </w:p>
        </w:tc>
        <w:tc>
          <w:tcPr>
            <w:tcW w:w="708" w:type="dxa"/>
            <w:noWrap w:val="0"/>
            <w:vAlign w:val="center"/>
          </w:tcPr>
          <w:p w14:paraId="362581BC">
            <w:pPr>
              <w:pStyle w:val="8"/>
              <w:spacing w:line="240" w:lineRule="auto"/>
              <w:rPr>
                <w:rFonts w:hint="default" w:ascii="Times New Roman" w:hAnsi="Times New Roman" w:cs="Times New Roman"/>
                <w:sz w:val="18"/>
                <w:szCs w:val="18"/>
              </w:rPr>
            </w:pPr>
          </w:p>
        </w:tc>
        <w:tc>
          <w:tcPr>
            <w:tcW w:w="709" w:type="dxa"/>
            <w:noWrap w:val="0"/>
            <w:vAlign w:val="center"/>
          </w:tcPr>
          <w:p w14:paraId="152EEDCF">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1" w:type="dxa"/>
            <w:vMerge w:val="continue"/>
            <w:noWrap w:val="0"/>
            <w:vAlign w:val="center"/>
          </w:tcPr>
          <w:p w14:paraId="4ED97DBF">
            <w:pPr>
              <w:pStyle w:val="8"/>
              <w:spacing w:line="240" w:lineRule="auto"/>
              <w:rPr>
                <w:rFonts w:hint="default" w:ascii="Times New Roman" w:hAnsi="Times New Roman" w:cs="Times New Roman"/>
                <w:sz w:val="18"/>
                <w:szCs w:val="18"/>
              </w:rPr>
            </w:pPr>
          </w:p>
        </w:tc>
      </w:tr>
      <w:tr w14:paraId="62361A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1417" w:type="dxa"/>
            <w:vMerge w:val="continue"/>
            <w:noWrap w:val="0"/>
            <w:vAlign w:val="center"/>
          </w:tcPr>
          <w:p w14:paraId="73D43143">
            <w:pPr>
              <w:pStyle w:val="8"/>
              <w:spacing w:line="240" w:lineRule="auto"/>
              <w:rPr>
                <w:rFonts w:hint="default" w:ascii="Times New Roman" w:hAnsi="Times New Roman" w:cs="Times New Roman"/>
                <w:sz w:val="18"/>
                <w:szCs w:val="18"/>
              </w:rPr>
            </w:pPr>
          </w:p>
        </w:tc>
        <w:tc>
          <w:tcPr>
            <w:tcW w:w="1134" w:type="dxa"/>
            <w:noWrap w:val="0"/>
            <w:vAlign w:val="center"/>
          </w:tcPr>
          <w:p w14:paraId="39E7B1CF">
            <w:pPr>
              <w:pStyle w:val="8"/>
              <w:spacing w:line="240" w:lineRule="auto"/>
              <w:rPr>
                <w:rFonts w:hint="default" w:ascii="Times New Roman" w:hAnsi="Times New Roman" w:cs="Times New Roman"/>
                <w:sz w:val="18"/>
                <w:szCs w:val="18"/>
              </w:rPr>
            </w:pPr>
          </w:p>
        </w:tc>
        <w:tc>
          <w:tcPr>
            <w:tcW w:w="3686" w:type="dxa"/>
            <w:noWrap w:val="0"/>
            <w:vAlign w:val="center"/>
          </w:tcPr>
          <w:p w14:paraId="036385AD">
            <w:pPr>
              <w:pStyle w:val="8"/>
              <w:spacing w:line="240" w:lineRule="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highlight w:val="yellow"/>
                <w:lang w:val="en-US" w:eastAsia="zh-CN"/>
              </w:rPr>
              <w:t>AI类课程</w:t>
            </w:r>
          </w:p>
        </w:tc>
        <w:tc>
          <w:tcPr>
            <w:tcW w:w="708" w:type="dxa"/>
            <w:noWrap w:val="0"/>
            <w:vAlign w:val="center"/>
          </w:tcPr>
          <w:p w14:paraId="3E93042C">
            <w:pPr>
              <w:pStyle w:val="8"/>
              <w:spacing w:line="240" w:lineRule="auto"/>
              <w:rPr>
                <w:rFonts w:hint="default" w:ascii="Times New Roman" w:hAnsi="Times New Roman" w:cs="Times New Roman"/>
                <w:sz w:val="18"/>
                <w:szCs w:val="18"/>
              </w:rPr>
            </w:pPr>
          </w:p>
        </w:tc>
        <w:tc>
          <w:tcPr>
            <w:tcW w:w="709" w:type="dxa"/>
            <w:noWrap w:val="0"/>
            <w:vAlign w:val="center"/>
          </w:tcPr>
          <w:p w14:paraId="39FDB1E4">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851" w:type="dxa"/>
            <w:vMerge w:val="continue"/>
            <w:noWrap w:val="0"/>
            <w:vAlign w:val="center"/>
          </w:tcPr>
          <w:p w14:paraId="06DF635B">
            <w:pPr>
              <w:pStyle w:val="8"/>
              <w:spacing w:line="240" w:lineRule="auto"/>
              <w:rPr>
                <w:rFonts w:hint="default" w:ascii="Times New Roman" w:hAnsi="Times New Roman" w:cs="Times New Roman"/>
                <w:sz w:val="18"/>
                <w:szCs w:val="18"/>
              </w:rPr>
            </w:pPr>
          </w:p>
        </w:tc>
      </w:tr>
      <w:tr w14:paraId="6FF753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417" w:type="dxa"/>
            <w:noWrap w:val="0"/>
            <w:vAlign w:val="center"/>
          </w:tcPr>
          <w:p w14:paraId="496F4B49">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专业技术</w:t>
            </w:r>
          </w:p>
          <w:p w14:paraId="10CDFAB3">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学分</w:t>
            </w:r>
          </w:p>
        </w:tc>
        <w:tc>
          <w:tcPr>
            <w:tcW w:w="1134" w:type="dxa"/>
            <w:noWrap w:val="0"/>
            <w:vAlign w:val="center"/>
          </w:tcPr>
          <w:p w14:paraId="30298A9C">
            <w:pPr>
              <w:pStyle w:val="8"/>
              <w:spacing w:line="240" w:lineRule="auto"/>
              <w:rPr>
                <w:rFonts w:hint="default" w:ascii="Times New Roman" w:hAnsi="Times New Roman" w:cs="Times New Roman"/>
                <w:sz w:val="18"/>
                <w:szCs w:val="18"/>
              </w:rPr>
            </w:pPr>
          </w:p>
        </w:tc>
        <w:tc>
          <w:tcPr>
            <w:tcW w:w="3686" w:type="dxa"/>
            <w:noWrap w:val="0"/>
            <w:vAlign w:val="center"/>
          </w:tcPr>
          <w:p w14:paraId="01945909">
            <w:pPr>
              <w:pStyle w:val="8"/>
              <w:spacing w:line="240" w:lineRule="auto"/>
              <w:rPr>
                <w:rFonts w:hint="default" w:ascii="Times New Roman" w:hAnsi="Times New Roman" w:eastAsia="宋体" w:cs="Times New Roman"/>
                <w:sz w:val="18"/>
                <w:szCs w:val="18"/>
                <w:lang w:val="en-US" w:eastAsia="zh-CN"/>
              </w:rPr>
            </w:pPr>
          </w:p>
        </w:tc>
        <w:tc>
          <w:tcPr>
            <w:tcW w:w="708" w:type="dxa"/>
            <w:noWrap w:val="0"/>
            <w:vAlign w:val="center"/>
          </w:tcPr>
          <w:p w14:paraId="013362D6">
            <w:pPr>
              <w:pStyle w:val="8"/>
              <w:spacing w:line="240" w:lineRule="auto"/>
              <w:rPr>
                <w:rFonts w:hint="default" w:ascii="Times New Roman" w:hAnsi="Times New Roman" w:cs="Times New Roman"/>
                <w:sz w:val="18"/>
                <w:szCs w:val="18"/>
              </w:rPr>
            </w:pPr>
          </w:p>
        </w:tc>
        <w:tc>
          <w:tcPr>
            <w:tcW w:w="709" w:type="dxa"/>
            <w:noWrap w:val="0"/>
            <w:vAlign w:val="center"/>
          </w:tcPr>
          <w:p w14:paraId="25B6E4B4">
            <w:pPr>
              <w:pStyle w:val="8"/>
              <w:spacing w:line="240" w:lineRule="auto"/>
              <w:rPr>
                <w:rFonts w:hint="default" w:ascii="Times New Roman" w:hAnsi="Times New Roman" w:cs="Times New Roman"/>
                <w:sz w:val="18"/>
                <w:szCs w:val="18"/>
              </w:rPr>
            </w:pPr>
          </w:p>
        </w:tc>
        <w:tc>
          <w:tcPr>
            <w:tcW w:w="851" w:type="dxa"/>
            <w:noWrap w:val="0"/>
            <w:vAlign w:val="center"/>
          </w:tcPr>
          <w:p w14:paraId="4435A9D8">
            <w:pPr>
              <w:pStyle w:val="8"/>
              <w:spacing w:line="240" w:lineRule="auto"/>
              <w:rPr>
                <w:rFonts w:hint="default" w:ascii="Times New Roman" w:hAnsi="Times New Roman" w:eastAsia="宋体" w:cs="Times New Roman"/>
                <w:sz w:val="18"/>
                <w:szCs w:val="18"/>
                <w:lang w:val="en-US" w:eastAsia="zh-CN"/>
              </w:rPr>
            </w:pPr>
          </w:p>
        </w:tc>
      </w:tr>
      <w:tr w14:paraId="5CDA0B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417" w:type="dxa"/>
            <w:noWrap w:val="0"/>
            <w:vAlign w:val="center"/>
          </w:tcPr>
          <w:p w14:paraId="4FFDFEE7">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特色课程</w:t>
            </w:r>
          </w:p>
          <w:p w14:paraId="5728AFCA">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（名称自定义）</w:t>
            </w:r>
          </w:p>
          <w:p w14:paraId="44F37C1F">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=6学分</w:t>
            </w:r>
          </w:p>
        </w:tc>
        <w:tc>
          <w:tcPr>
            <w:tcW w:w="1134" w:type="dxa"/>
            <w:noWrap w:val="0"/>
            <w:vAlign w:val="center"/>
          </w:tcPr>
          <w:p w14:paraId="3348DFAB">
            <w:pPr>
              <w:pStyle w:val="8"/>
              <w:spacing w:line="240" w:lineRule="auto"/>
              <w:rPr>
                <w:rFonts w:hint="default" w:ascii="Times New Roman" w:hAnsi="Times New Roman" w:cs="Times New Roman"/>
                <w:sz w:val="18"/>
                <w:szCs w:val="18"/>
              </w:rPr>
            </w:pPr>
          </w:p>
        </w:tc>
        <w:tc>
          <w:tcPr>
            <w:tcW w:w="3686" w:type="dxa"/>
            <w:noWrap w:val="0"/>
            <w:vAlign w:val="center"/>
          </w:tcPr>
          <w:p w14:paraId="24481090">
            <w:pPr>
              <w:pStyle w:val="8"/>
              <w:spacing w:line="240" w:lineRule="auto"/>
              <w:rPr>
                <w:rFonts w:hint="default" w:ascii="Times New Roman" w:hAnsi="Times New Roman" w:cs="Times New Roman"/>
                <w:sz w:val="18"/>
                <w:szCs w:val="18"/>
              </w:rPr>
            </w:pPr>
          </w:p>
        </w:tc>
        <w:tc>
          <w:tcPr>
            <w:tcW w:w="708" w:type="dxa"/>
            <w:noWrap w:val="0"/>
            <w:vAlign w:val="center"/>
          </w:tcPr>
          <w:p w14:paraId="7FA38BFE">
            <w:pPr>
              <w:pStyle w:val="8"/>
              <w:spacing w:line="240" w:lineRule="auto"/>
              <w:rPr>
                <w:rFonts w:hint="default" w:ascii="Times New Roman" w:hAnsi="Times New Roman" w:cs="Times New Roman"/>
                <w:sz w:val="18"/>
                <w:szCs w:val="18"/>
              </w:rPr>
            </w:pPr>
          </w:p>
        </w:tc>
        <w:tc>
          <w:tcPr>
            <w:tcW w:w="709" w:type="dxa"/>
            <w:noWrap w:val="0"/>
            <w:vAlign w:val="center"/>
          </w:tcPr>
          <w:p w14:paraId="0B679814">
            <w:pPr>
              <w:pStyle w:val="8"/>
              <w:spacing w:line="240" w:lineRule="auto"/>
              <w:rPr>
                <w:rFonts w:hint="default" w:ascii="Times New Roman" w:hAnsi="Times New Roman" w:cs="Times New Roman"/>
                <w:sz w:val="18"/>
                <w:szCs w:val="18"/>
              </w:rPr>
            </w:pPr>
          </w:p>
        </w:tc>
        <w:tc>
          <w:tcPr>
            <w:tcW w:w="851" w:type="dxa"/>
            <w:noWrap w:val="0"/>
            <w:vAlign w:val="center"/>
          </w:tcPr>
          <w:p w14:paraId="640BA2C5">
            <w:pPr>
              <w:pStyle w:val="8"/>
              <w:spacing w:line="240" w:lineRule="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硕士</w:t>
            </w:r>
          </w:p>
        </w:tc>
      </w:tr>
      <w:tr w14:paraId="379332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417" w:type="dxa"/>
            <w:noWrap w:val="0"/>
            <w:vAlign w:val="center"/>
          </w:tcPr>
          <w:p w14:paraId="5DC7FB8A">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公共选修</w:t>
            </w:r>
          </w:p>
        </w:tc>
        <w:tc>
          <w:tcPr>
            <w:tcW w:w="1134" w:type="dxa"/>
            <w:noWrap w:val="0"/>
            <w:vAlign w:val="center"/>
          </w:tcPr>
          <w:p w14:paraId="4FD04EA7">
            <w:pPr>
              <w:pStyle w:val="8"/>
              <w:spacing w:line="240" w:lineRule="auto"/>
              <w:rPr>
                <w:rFonts w:hint="default" w:ascii="Times New Roman" w:hAnsi="Times New Roman" w:cs="Times New Roman"/>
                <w:sz w:val="18"/>
                <w:szCs w:val="18"/>
              </w:rPr>
            </w:pPr>
          </w:p>
        </w:tc>
        <w:tc>
          <w:tcPr>
            <w:tcW w:w="3686" w:type="dxa"/>
            <w:noWrap w:val="0"/>
            <w:vAlign w:val="center"/>
          </w:tcPr>
          <w:p w14:paraId="6DD9009D">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见《研究生公共选修课程目录》</w:t>
            </w:r>
          </w:p>
        </w:tc>
        <w:tc>
          <w:tcPr>
            <w:tcW w:w="708" w:type="dxa"/>
            <w:noWrap w:val="0"/>
            <w:vAlign w:val="center"/>
          </w:tcPr>
          <w:p w14:paraId="793280E4">
            <w:pPr>
              <w:pStyle w:val="8"/>
              <w:spacing w:line="240" w:lineRule="auto"/>
              <w:rPr>
                <w:rFonts w:hint="default" w:ascii="Times New Roman" w:hAnsi="Times New Roman" w:cs="Times New Roman"/>
                <w:sz w:val="18"/>
                <w:szCs w:val="18"/>
              </w:rPr>
            </w:pPr>
          </w:p>
        </w:tc>
        <w:tc>
          <w:tcPr>
            <w:tcW w:w="709" w:type="dxa"/>
            <w:noWrap w:val="0"/>
            <w:vAlign w:val="center"/>
          </w:tcPr>
          <w:p w14:paraId="316D1A23">
            <w:pPr>
              <w:pStyle w:val="8"/>
              <w:spacing w:line="240" w:lineRule="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2</w:t>
            </w:r>
          </w:p>
        </w:tc>
        <w:tc>
          <w:tcPr>
            <w:tcW w:w="851" w:type="dxa"/>
            <w:noWrap w:val="0"/>
            <w:vAlign w:val="center"/>
          </w:tcPr>
          <w:p w14:paraId="2DFC7C1D">
            <w:pPr>
              <w:pStyle w:val="8"/>
              <w:spacing w:line="240" w:lineRule="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硕士</w:t>
            </w:r>
          </w:p>
        </w:tc>
      </w:tr>
      <w:tr w14:paraId="713899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417" w:type="dxa"/>
            <w:vMerge w:val="restart"/>
            <w:noWrap w:val="0"/>
            <w:vAlign w:val="center"/>
          </w:tcPr>
          <w:p w14:paraId="27DF96F7">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必选环节</w:t>
            </w:r>
          </w:p>
          <w:p w14:paraId="0247E52A">
            <w:pPr>
              <w:pStyle w:val="8"/>
              <w:spacing w:line="240" w:lineRule="auto"/>
              <w:rPr>
                <w:rFonts w:hint="default" w:ascii="Times New Roman" w:hAnsi="Times New Roman" w:cs="Times New Roman"/>
                <w:sz w:val="18"/>
                <w:szCs w:val="18"/>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学分</w:t>
            </w:r>
          </w:p>
        </w:tc>
        <w:tc>
          <w:tcPr>
            <w:tcW w:w="1134" w:type="dxa"/>
            <w:noWrap w:val="0"/>
            <w:vAlign w:val="center"/>
          </w:tcPr>
          <w:p w14:paraId="4288AA50">
            <w:pPr>
              <w:pStyle w:val="8"/>
              <w:spacing w:line="240" w:lineRule="auto"/>
              <w:rPr>
                <w:rFonts w:hint="default" w:ascii="Times New Roman" w:hAnsi="Times New Roman" w:cs="Times New Roman"/>
                <w:sz w:val="18"/>
                <w:szCs w:val="18"/>
              </w:rPr>
            </w:pPr>
          </w:p>
        </w:tc>
        <w:tc>
          <w:tcPr>
            <w:tcW w:w="3686" w:type="dxa"/>
            <w:noWrap w:val="0"/>
            <w:vAlign w:val="center"/>
          </w:tcPr>
          <w:p w14:paraId="1DC0A481">
            <w:pPr>
              <w:pStyle w:val="8"/>
              <w:spacing w:line="240" w:lineRule="auto"/>
              <w:rPr>
                <w:rFonts w:hint="default" w:ascii="Times New Roman" w:hAnsi="Times New Roman" w:eastAsia="宋体" w:cs="Times New Roman"/>
                <w:color w:val="0000FF"/>
                <w:kern w:val="2"/>
                <w:sz w:val="21"/>
                <w:szCs w:val="21"/>
                <w:lang w:val="en-US" w:eastAsia="zh-CN" w:bidi="ar-SA"/>
              </w:rPr>
            </w:pPr>
          </w:p>
        </w:tc>
        <w:tc>
          <w:tcPr>
            <w:tcW w:w="708" w:type="dxa"/>
            <w:noWrap w:val="0"/>
            <w:vAlign w:val="center"/>
          </w:tcPr>
          <w:p w14:paraId="7E4DAD10">
            <w:pPr>
              <w:pStyle w:val="8"/>
              <w:spacing w:line="240" w:lineRule="auto"/>
              <w:rPr>
                <w:rFonts w:hint="default" w:ascii="Times New Roman" w:hAnsi="Times New Roman" w:cs="Times New Roman"/>
                <w:color w:val="0000FF"/>
                <w:kern w:val="2"/>
                <w:sz w:val="21"/>
                <w:szCs w:val="21"/>
                <w:lang w:val="en-US" w:eastAsia="zh-CN" w:bidi="ar-SA"/>
              </w:rPr>
            </w:pPr>
          </w:p>
        </w:tc>
        <w:tc>
          <w:tcPr>
            <w:tcW w:w="709" w:type="dxa"/>
            <w:noWrap w:val="0"/>
            <w:vAlign w:val="center"/>
          </w:tcPr>
          <w:p w14:paraId="511BAF14">
            <w:pPr>
              <w:pStyle w:val="8"/>
              <w:spacing w:line="240" w:lineRule="auto"/>
              <w:rPr>
                <w:rFonts w:hint="default" w:ascii="Times New Roman" w:hAnsi="Times New Roman" w:cs="Times New Roman"/>
                <w:color w:val="0000FF"/>
                <w:kern w:val="2"/>
                <w:sz w:val="21"/>
                <w:szCs w:val="21"/>
                <w:lang w:val="en-US" w:eastAsia="zh-CN" w:bidi="ar-SA"/>
              </w:rPr>
            </w:pPr>
          </w:p>
        </w:tc>
        <w:tc>
          <w:tcPr>
            <w:tcW w:w="851" w:type="dxa"/>
            <w:noWrap w:val="0"/>
            <w:vAlign w:val="center"/>
          </w:tcPr>
          <w:p w14:paraId="5C9105A0">
            <w:pPr>
              <w:pStyle w:val="8"/>
              <w:spacing w:line="240" w:lineRule="auto"/>
              <w:rPr>
                <w:rFonts w:hint="default" w:ascii="Times New Roman" w:hAnsi="Times New Roman" w:cs="Times New Roman"/>
                <w:color w:val="0000FF"/>
                <w:kern w:val="2"/>
                <w:sz w:val="18"/>
                <w:szCs w:val="18"/>
                <w:lang w:val="en-US" w:eastAsia="zh-CN" w:bidi="ar-SA"/>
              </w:rPr>
            </w:pPr>
          </w:p>
        </w:tc>
      </w:tr>
      <w:tr w14:paraId="466C68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417" w:type="dxa"/>
            <w:vMerge w:val="continue"/>
            <w:noWrap w:val="0"/>
            <w:vAlign w:val="center"/>
          </w:tcPr>
          <w:p w14:paraId="5DACEF23">
            <w:pPr>
              <w:pStyle w:val="8"/>
              <w:spacing w:line="240" w:lineRule="auto"/>
              <w:rPr>
                <w:rFonts w:hint="default" w:ascii="Times New Roman" w:hAnsi="Times New Roman" w:cs="Times New Roman"/>
                <w:sz w:val="18"/>
                <w:szCs w:val="18"/>
              </w:rPr>
            </w:pPr>
          </w:p>
        </w:tc>
        <w:tc>
          <w:tcPr>
            <w:tcW w:w="1134" w:type="dxa"/>
            <w:noWrap w:val="0"/>
            <w:vAlign w:val="center"/>
          </w:tcPr>
          <w:p w14:paraId="11BD54DB">
            <w:pPr>
              <w:pStyle w:val="8"/>
              <w:spacing w:line="240" w:lineRule="auto"/>
              <w:rPr>
                <w:rFonts w:hint="default" w:ascii="Times New Roman" w:hAnsi="Times New Roman" w:cs="Times New Roman"/>
                <w:sz w:val="18"/>
                <w:szCs w:val="18"/>
              </w:rPr>
            </w:pPr>
          </w:p>
        </w:tc>
        <w:tc>
          <w:tcPr>
            <w:tcW w:w="3686" w:type="dxa"/>
            <w:noWrap w:val="0"/>
            <w:vAlign w:val="center"/>
          </w:tcPr>
          <w:p w14:paraId="66A85CB8">
            <w:pPr>
              <w:pStyle w:val="8"/>
              <w:spacing w:line="240" w:lineRule="auto"/>
              <w:rPr>
                <w:rFonts w:hint="default" w:ascii="Times New Roman" w:hAnsi="Times New Roman" w:cs="Times New Roman"/>
                <w:kern w:val="2"/>
                <w:sz w:val="18"/>
                <w:szCs w:val="18"/>
                <w:lang w:val="en-US" w:eastAsia="zh-CN" w:bidi="ar-SA"/>
              </w:rPr>
            </w:pPr>
          </w:p>
        </w:tc>
        <w:tc>
          <w:tcPr>
            <w:tcW w:w="708" w:type="dxa"/>
            <w:noWrap w:val="0"/>
            <w:vAlign w:val="center"/>
          </w:tcPr>
          <w:p w14:paraId="500F91C6">
            <w:pPr>
              <w:pStyle w:val="8"/>
              <w:spacing w:line="240" w:lineRule="auto"/>
              <w:rPr>
                <w:rFonts w:hint="default" w:ascii="Times New Roman" w:hAnsi="Times New Roman" w:cs="Times New Roman"/>
                <w:kern w:val="2"/>
                <w:sz w:val="18"/>
                <w:szCs w:val="18"/>
                <w:lang w:val="en-US" w:eastAsia="zh-CN" w:bidi="ar-SA"/>
              </w:rPr>
            </w:pPr>
          </w:p>
        </w:tc>
        <w:tc>
          <w:tcPr>
            <w:tcW w:w="709" w:type="dxa"/>
            <w:noWrap w:val="0"/>
            <w:vAlign w:val="center"/>
          </w:tcPr>
          <w:p w14:paraId="0A375D7F">
            <w:pPr>
              <w:pStyle w:val="8"/>
              <w:spacing w:line="240" w:lineRule="auto"/>
              <w:rPr>
                <w:rFonts w:hint="default" w:ascii="Times New Roman" w:hAnsi="Times New Roman" w:cs="Times New Roman"/>
                <w:kern w:val="2"/>
                <w:sz w:val="18"/>
                <w:szCs w:val="18"/>
                <w:lang w:val="en-US" w:eastAsia="zh-CN" w:bidi="ar-SA"/>
              </w:rPr>
            </w:pPr>
          </w:p>
        </w:tc>
        <w:tc>
          <w:tcPr>
            <w:tcW w:w="851" w:type="dxa"/>
            <w:noWrap w:val="0"/>
            <w:vAlign w:val="center"/>
          </w:tcPr>
          <w:p w14:paraId="075A2CE3">
            <w:pPr>
              <w:pStyle w:val="8"/>
              <w:spacing w:line="240" w:lineRule="auto"/>
              <w:rPr>
                <w:rFonts w:hint="default" w:ascii="Times New Roman" w:hAnsi="Times New Roman" w:eastAsia="宋体" w:cs="Times New Roman"/>
                <w:kern w:val="2"/>
                <w:sz w:val="18"/>
                <w:szCs w:val="18"/>
                <w:lang w:val="en-US" w:eastAsia="zh-CN" w:bidi="ar-SA"/>
              </w:rPr>
            </w:pPr>
          </w:p>
        </w:tc>
      </w:tr>
      <w:tr w14:paraId="3C1D42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417" w:type="dxa"/>
            <w:noWrap w:val="0"/>
            <w:vAlign w:val="center"/>
          </w:tcPr>
          <w:p w14:paraId="1F4D7A79">
            <w:pPr>
              <w:pStyle w:val="8"/>
              <w:spacing w:line="240" w:lineRule="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补修课程</w:t>
            </w:r>
          </w:p>
        </w:tc>
        <w:tc>
          <w:tcPr>
            <w:tcW w:w="1134" w:type="dxa"/>
            <w:noWrap w:val="0"/>
            <w:vAlign w:val="center"/>
          </w:tcPr>
          <w:p w14:paraId="6F176E37">
            <w:pPr>
              <w:pStyle w:val="8"/>
              <w:spacing w:line="240" w:lineRule="auto"/>
              <w:rPr>
                <w:rFonts w:hint="default" w:ascii="Times New Roman" w:hAnsi="Times New Roman" w:cs="Times New Roman"/>
                <w:sz w:val="18"/>
                <w:szCs w:val="18"/>
              </w:rPr>
            </w:pPr>
          </w:p>
        </w:tc>
        <w:tc>
          <w:tcPr>
            <w:tcW w:w="3686" w:type="dxa"/>
            <w:noWrap w:val="0"/>
            <w:vAlign w:val="center"/>
          </w:tcPr>
          <w:p w14:paraId="360C1A5E">
            <w:pPr>
              <w:pStyle w:val="8"/>
              <w:spacing w:line="240" w:lineRule="auto"/>
              <w:rPr>
                <w:rFonts w:hint="default" w:ascii="Times New Roman" w:hAnsi="Times New Roman" w:eastAsia="宋体" w:cs="Times New Roman"/>
                <w:lang w:val="en-US" w:eastAsia="zh-CN"/>
              </w:rPr>
            </w:pPr>
          </w:p>
        </w:tc>
        <w:tc>
          <w:tcPr>
            <w:tcW w:w="708" w:type="dxa"/>
            <w:noWrap w:val="0"/>
            <w:vAlign w:val="center"/>
          </w:tcPr>
          <w:p w14:paraId="1370A5A8">
            <w:pPr>
              <w:pStyle w:val="8"/>
              <w:spacing w:line="240" w:lineRule="auto"/>
              <w:rPr>
                <w:rFonts w:hint="default" w:ascii="Times New Roman" w:hAnsi="Times New Roman" w:cs="Times New Roman"/>
              </w:rPr>
            </w:pPr>
          </w:p>
        </w:tc>
        <w:tc>
          <w:tcPr>
            <w:tcW w:w="709" w:type="dxa"/>
            <w:noWrap w:val="0"/>
            <w:vAlign w:val="center"/>
          </w:tcPr>
          <w:p w14:paraId="324A91B6">
            <w:pPr>
              <w:pStyle w:val="8"/>
              <w:spacing w:line="240" w:lineRule="auto"/>
              <w:rPr>
                <w:rFonts w:hint="default" w:ascii="Times New Roman" w:hAnsi="Times New Roman" w:cs="Times New Roman"/>
              </w:rPr>
            </w:pPr>
          </w:p>
        </w:tc>
        <w:tc>
          <w:tcPr>
            <w:tcW w:w="851" w:type="dxa"/>
            <w:noWrap w:val="0"/>
            <w:vAlign w:val="center"/>
          </w:tcPr>
          <w:p w14:paraId="5D1EA1D5">
            <w:pPr>
              <w:pStyle w:val="8"/>
              <w:spacing w:line="240" w:lineRule="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不计入总学分</w:t>
            </w:r>
          </w:p>
        </w:tc>
      </w:tr>
    </w:tbl>
    <w:p w14:paraId="478F2EAC">
      <w:pPr>
        <w:pStyle w:val="9"/>
        <w:spacing w:line="276" w:lineRule="auto"/>
        <w:rPr>
          <w:rFonts w:ascii="宋体" w:hAnsi="宋体" w:eastAsia="宋体" w:cs="Times New Roman"/>
          <w:color w:val="auto"/>
          <w:sz w:val="21"/>
          <w:szCs w:val="21"/>
        </w:rPr>
      </w:pPr>
      <w:r>
        <w:rPr>
          <w:rFonts w:ascii="宋体" w:hAnsi="宋体" w:eastAsia="宋体" w:cs="Times New Roman"/>
          <w:color w:val="auto"/>
          <w:sz w:val="21"/>
          <w:szCs w:val="21"/>
        </w:rPr>
        <w:t>注：1.</w:t>
      </w:r>
      <w:r>
        <w:rPr>
          <w:rFonts w:hint="eastAsia" w:ascii="宋体" w:hAnsi="宋体" w:eastAsia="宋体" w:cs="Times New Roman"/>
          <w:color w:val="auto"/>
          <w:sz w:val="21"/>
          <w:szCs w:val="21"/>
        </w:rPr>
        <w:t xml:space="preserve"> </w:t>
      </w:r>
      <w:r>
        <w:rPr>
          <w:rFonts w:ascii="宋体" w:hAnsi="宋体" w:eastAsia="宋体" w:cs="Times New Roman"/>
          <w:color w:val="auto"/>
          <w:sz w:val="21"/>
          <w:szCs w:val="21"/>
        </w:rPr>
        <w:t>为满足社会多元化需求和学生个性化培养的要求，凡在科研成果、创新创业、社会工作获得突出成绩的，经研究生申请、学院认定后，可以冲抵一定选修课学分。具体内容参照相关文件规定。</w:t>
      </w:r>
    </w:p>
    <w:p w14:paraId="03689491">
      <w:pPr>
        <w:numPr>
          <w:ilvl w:val="0"/>
          <w:numId w:val="3"/>
        </w:numPr>
        <w:spacing w:line="276" w:lineRule="auto"/>
        <w:ind w:firstLine="420"/>
        <w:rPr>
          <w:rFonts w:ascii="宋体" w:hAnsi="宋体"/>
          <w:szCs w:val="21"/>
        </w:rPr>
      </w:pPr>
      <w:r>
        <w:rPr>
          <w:rFonts w:hint="eastAsia" w:ascii="宋体" w:hAnsi="宋体"/>
          <w:szCs w:val="21"/>
          <w:lang w:val="en-US" w:eastAsia="zh-CN"/>
        </w:rPr>
        <w:t>各专业对于实验课程的要求。</w:t>
      </w:r>
    </w:p>
    <w:p w14:paraId="778DF166">
      <w:pPr>
        <w:spacing w:line="360" w:lineRule="auto"/>
        <w:ind w:firstLine="422" w:firstLineChars="200"/>
        <w:rPr>
          <w:rFonts w:hint="eastAsia"/>
          <w:b/>
        </w:rPr>
      </w:pPr>
      <w:r>
        <w:rPr>
          <w:rFonts w:hint="eastAsia"/>
          <w:b/>
        </w:rPr>
        <w:t>（三）必选环节（2学分）</w:t>
      </w:r>
    </w:p>
    <w:p w14:paraId="30A25A0A">
      <w:pPr>
        <w:spacing w:line="360" w:lineRule="auto"/>
        <w:ind w:firstLine="422" w:firstLineChars="200"/>
        <w:rPr>
          <w:rFonts w:hint="eastAsia"/>
          <w:b/>
        </w:rPr>
      </w:pPr>
      <w:r>
        <w:rPr>
          <w:rFonts w:hint="eastAsia"/>
          <w:b/>
        </w:rPr>
        <w:t xml:space="preserve">1. </w:t>
      </w:r>
      <w:r>
        <w:rPr>
          <w:rFonts w:hint="eastAsia"/>
          <w:b/>
          <w:lang w:val="en-US" w:eastAsia="zh-CN"/>
        </w:rPr>
        <w:t>***</w:t>
      </w:r>
      <w:r>
        <w:rPr>
          <w:rFonts w:hint="eastAsia"/>
          <w:b/>
        </w:rPr>
        <w:t>（</w:t>
      </w:r>
      <w:r>
        <w:rPr>
          <w:rFonts w:hint="eastAsia"/>
          <w:b/>
          <w:lang w:val="en-US" w:eastAsia="zh-CN"/>
        </w:rPr>
        <w:t>*</w:t>
      </w:r>
      <w:r>
        <w:rPr>
          <w:rFonts w:hint="eastAsia"/>
          <w:b/>
        </w:rPr>
        <w:t>学分）</w:t>
      </w:r>
    </w:p>
    <w:p w14:paraId="34AE154C">
      <w:pPr>
        <w:spacing w:line="360" w:lineRule="auto"/>
        <w:ind w:firstLine="470"/>
        <w:rPr>
          <w:rFonts w:hint="eastAsia"/>
        </w:rPr>
      </w:pPr>
      <w:r>
        <w:rPr>
          <w:rFonts w:hint="eastAsia"/>
        </w:rPr>
        <w:t>正文（宋体，五号）</w:t>
      </w:r>
    </w:p>
    <w:p w14:paraId="4D08ABF1">
      <w:pPr>
        <w:spacing w:line="360" w:lineRule="auto"/>
        <w:ind w:firstLine="470"/>
        <w:rPr>
          <w:rFonts w:hint="default" w:ascii="黑体" w:hAnsi="黑体" w:eastAsia="宋体"/>
          <w:sz w:val="24"/>
          <w:lang w:val="en-US" w:eastAsia="zh-CN"/>
        </w:rPr>
      </w:pPr>
      <w:r>
        <w:rPr>
          <w:rFonts w:hint="eastAsia"/>
          <w:b/>
        </w:rPr>
        <w:t xml:space="preserve"> </w:t>
      </w:r>
      <w:r>
        <w:rPr>
          <w:rFonts w:hint="eastAsia"/>
          <w:b/>
          <w:lang w:val="en-US" w:eastAsia="zh-CN"/>
        </w:rPr>
        <w:t>......</w:t>
      </w:r>
    </w:p>
    <w:p w14:paraId="5E46BCC0">
      <w:pPr>
        <w:spacing w:line="360" w:lineRule="auto"/>
        <w:rPr>
          <w:rFonts w:hint="eastAsia" w:ascii="黑体" w:hAnsi="黑体" w:eastAsia="黑体"/>
          <w:sz w:val="24"/>
          <w:lang w:val="en-US" w:eastAsia="zh-CN"/>
        </w:rPr>
      </w:pPr>
      <w:r>
        <w:rPr>
          <w:rFonts w:hint="eastAsia" w:ascii="黑体" w:hAnsi="黑体" w:eastAsia="黑体"/>
          <w:sz w:val="24"/>
        </w:rPr>
        <w:t>六、</w:t>
      </w:r>
      <w:r>
        <w:rPr>
          <w:rFonts w:hint="eastAsia" w:ascii="黑体" w:hAnsi="黑体" w:eastAsia="黑体"/>
          <w:sz w:val="24"/>
          <w:lang w:val="en-US" w:eastAsia="zh-CN"/>
        </w:rPr>
        <w:t>科学研究及</w:t>
      </w:r>
      <w:r>
        <w:rPr>
          <w:rFonts w:hint="eastAsia" w:ascii="黑体" w:hAnsi="黑体" w:eastAsia="黑体"/>
          <w:sz w:val="24"/>
        </w:rPr>
        <w:t>学位论文</w:t>
      </w:r>
      <w:r>
        <w:rPr>
          <w:rFonts w:hint="eastAsia" w:ascii="黑体" w:hAnsi="黑体" w:eastAsia="黑体"/>
          <w:sz w:val="24"/>
          <w:lang w:val="en-US" w:eastAsia="zh-CN"/>
        </w:rPr>
        <w:t>要求</w:t>
      </w:r>
    </w:p>
    <w:p w14:paraId="6DA79DEE">
      <w:pPr>
        <w:spacing w:line="360" w:lineRule="auto"/>
        <w:ind w:firstLine="470"/>
        <w:rPr>
          <w:rFonts w:hint="eastAsia"/>
        </w:rPr>
      </w:pPr>
      <w:r>
        <w:rPr>
          <w:rFonts w:hint="eastAsia"/>
        </w:rPr>
        <w:t>正文（宋体，五号）</w:t>
      </w:r>
    </w:p>
    <w:p w14:paraId="4B9CDC68">
      <w:pPr>
        <w:ind w:firstLine="420" w:firstLineChars="200"/>
        <w:rPr>
          <w:rFonts w:hint="default"/>
          <w:highlight w:val="none"/>
          <w:u w:val="single"/>
          <w:lang w:val="en-US" w:eastAsia="zh-CN"/>
        </w:rPr>
      </w:pPr>
      <w:r>
        <w:rPr>
          <w:rFonts w:hint="eastAsia"/>
          <w:highlight w:val="none"/>
          <w:u w:val="single"/>
          <w:lang w:val="en-US" w:eastAsia="zh-CN"/>
        </w:rPr>
        <w:t>本次培养方案须明确毕业对相关成果的要求；</w:t>
      </w:r>
    </w:p>
    <w:p w14:paraId="548FDDFA">
      <w:pPr>
        <w:spacing w:line="360" w:lineRule="auto"/>
        <w:ind w:firstLine="420" w:firstLineChars="200"/>
        <w:rPr>
          <w:rFonts w:hint="eastAsia"/>
          <w:highlight w:val="none"/>
          <w:u w:val="single"/>
          <w:lang w:val="en-US" w:eastAsia="zh-CN"/>
        </w:rPr>
      </w:pPr>
      <w:r>
        <w:rPr>
          <w:rFonts w:hint="eastAsia"/>
          <w:highlight w:val="none"/>
          <w:u w:val="single"/>
          <w:lang w:val="en-US" w:eastAsia="zh-CN"/>
        </w:rPr>
        <w:t>本次培养方案须明确专业学位学位论文及实践成果及撰写要求。</w:t>
      </w:r>
    </w:p>
    <w:p w14:paraId="3A448CA1">
      <w:pPr>
        <w:spacing w:line="360" w:lineRule="auto"/>
        <w:rPr>
          <w:rFonts w:hint="eastAsia" w:ascii="黑体" w:hAnsi="黑体" w:eastAsia="黑体"/>
          <w:sz w:val="24"/>
        </w:rPr>
      </w:pPr>
      <w:r>
        <w:rPr>
          <w:rFonts w:hint="eastAsia" w:ascii="黑体" w:hAnsi="黑体" w:eastAsia="黑体"/>
          <w:sz w:val="24"/>
        </w:rPr>
        <w:t>七、其他</w:t>
      </w:r>
    </w:p>
    <w:p w14:paraId="6649F1B8">
      <w:pPr>
        <w:spacing w:line="360" w:lineRule="auto"/>
        <w:ind w:firstLine="470"/>
        <w:rPr>
          <w:rFonts w:hint="eastAsia"/>
        </w:rPr>
      </w:pPr>
      <w:r>
        <w:rPr>
          <w:rFonts w:hint="eastAsia"/>
        </w:rPr>
        <w:t>正文（宋体，五号）</w:t>
      </w:r>
    </w:p>
    <w:p w14:paraId="54ECEEE2">
      <w:pPr>
        <w:autoSpaceDE w:val="0"/>
        <w:autoSpaceDN w:val="0"/>
        <w:adjustRightInd w:val="0"/>
        <w:spacing w:line="276" w:lineRule="auto"/>
        <w:ind w:firstLine="422" w:firstLineChars="200"/>
        <w:rPr>
          <w:b/>
          <w:bCs/>
          <w:color w:val="auto"/>
          <w:kern w:val="0"/>
          <w:szCs w:val="21"/>
          <w:highlight w:val="none"/>
        </w:rPr>
      </w:pPr>
      <w:r>
        <w:rPr>
          <w:b/>
          <w:bCs/>
          <w:color w:val="auto"/>
          <w:kern w:val="0"/>
          <w:szCs w:val="21"/>
          <w:highlight w:val="none"/>
        </w:rPr>
        <w:t>1.培养计划的制定</w:t>
      </w:r>
    </w:p>
    <w:p w14:paraId="18FD1FF3">
      <w:pPr>
        <w:autoSpaceDE w:val="0"/>
        <w:autoSpaceDN w:val="0"/>
        <w:adjustRightInd w:val="0"/>
        <w:spacing w:line="276" w:lineRule="auto"/>
        <w:ind w:firstLine="420" w:firstLineChars="200"/>
        <w:rPr>
          <w:color w:val="auto"/>
          <w:szCs w:val="21"/>
          <w:highlight w:val="none"/>
        </w:rPr>
      </w:pPr>
      <w:r>
        <w:rPr>
          <w:color w:val="auto"/>
          <w:szCs w:val="21"/>
          <w:highlight w:val="none"/>
        </w:rPr>
        <w:t>专业学位研究生应在入学后一个月内，在导师指导下根据本学科培养方案的要求和研究生本人的具体情况确定培养计划，经指导教师审核同意和专业委员会负责人签字后，要求一式四份，其中一份由研究生本人保管，一份导师保存，一份存二级学院存档，一份交研究生院备案。</w:t>
      </w:r>
    </w:p>
    <w:p w14:paraId="7A764E61">
      <w:pPr>
        <w:autoSpaceDE w:val="0"/>
        <w:autoSpaceDN w:val="0"/>
        <w:adjustRightInd w:val="0"/>
        <w:spacing w:line="276" w:lineRule="auto"/>
        <w:ind w:firstLine="422" w:firstLineChars="200"/>
        <w:rPr>
          <w:b/>
          <w:bCs/>
          <w:color w:val="auto"/>
          <w:kern w:val="0"/>
          <w:szCs w:val="21"/>
          <w:highlight w:val="none"/>
        </w:rPr>
      </w:pPr>
      <w:r>
        <w:rPr>
          <w:b/>
          <w:bCs/>
          <w:color w:val="auto"/>
          <w:kern w:val="0"/>
          <w:szCs w:val="21"/>
          <w:highlight w:val="none"/>
        </w:rPr>
        <w:t>2.毕业和授予学位标准</w:t>
      </w:r>
    </w:p>
    <w:p w14:paraId="19C3810C">
      <w:pPr>
        <w:autoSpaceDE w:val="0"/>
        <w:autoSpaceDN w:val="0"/>
        <w:adjustRightInd w:val="0"/>
        <w:spacing w:line="276" w:lineRule="auto"/>
        <w:ind w:firstLine="470" w:firstLineChars="196"/>
        <w:rPr>
          <w:color w:val="auto"/>
          <w:szCs w:val="21"/>
          <w:highlight w:val="none"/>
        </w:rPr>
      </w:pPr>
      <w:r>
        <w:rPr>
          <w:rFonts w:hint="eastAsia" w:ascii="宋体" w:hAnsi="宋体" w:eastAsia="宋体" w:cs="宋体"/>
          <w:color w:val="000000"/>
          <w:kern w:val="0"/>
          <w:sz w:val="24"/>
          <w:szCs w:val="24"/>
          <w:lang w:val="en-US" w:eastAsia="zh-CN" w:bidi="ar"/>
        </w:rPr>
        <w:t>对于完成培养计划，</w:t>
      </w:r>
      <w:r>
        <w:rPr>
          <w:color w:val="auto"/>
          <w:szCs w:val="21"/>
          <w:highlight w:val="none"/>
        </w:rPr>
        <w:t>修满规定学分</w:t>
      </w:r>
      <w:r>
        <w:rPr>
          <w:rFonts w:hint="eastAsia"/>
          <w:color w:val="auto"/>
          <w:szCs w:val="21"/>
          <w:highlight w:val="none"/>
        </w:rPr>
        <w:t>，</w:t>
      </w:r>
      <w:r>
        <w:rPr>
          <w:rFonts w:hint="eastAsia"/>
          <w:color w:val="auto"/>
          <w:szCs w:val="21"/>
          <w:highlight w:val="none"/>
          <w:lang w:val="en-US" w:eastAsia="zh-CN"/>
        </w:rPr>
        <w:t>并通过</w:t>
      </w:r>
      <w:r>
        <w:rPr>
          <w:color w:val="auto"/>
          <w:szCs w:val="21"/>
          <w:highlight w:val="none"/>
        </w:rPr>
        <w:t>学位论文答辩者，经校学位评定委员会审核批准后，授予其相应学位。毕业和授予学位标准按</w:t>
      </w:r>
      <w:r>
        <w:rPr>
          <w:rFonts w:hint="eastAsia"/>
          <w:color w:val="auto"/>
          <w:szCs w:val="21"/>
          <w:highlight w:val="none"/>
          <w:lang w:val="en-US" w:eastAsia="zh-CN"/>
        </w:rPr>
        <w:t>学校相关文件</w:t>
      </w:r>
      <w:r>
        <w:rPr>
          <w:color w:val="auto"/>
          <w:szCs w:val="21"/>
          <w:highlight w:val="none"/>
        </w:rPr>
        <w:t>执行。</w:t>
      </w:r>
    </w:p>
    <w:p w14:paraId="7D9DA7BD">
      <w:pPr>
        <w:keepNext w:val="0"/>
        <w:keepLines w:val="0"/>
        <w:widowControl/>
        <w:numPr>
          <w:ilvl w:val="0"/>
          <w:numId w:val="0"/>
        </w:numPr>
        <w:suppressLineNumbers w:val="0"/>
        <w:spacing w:line="360" w:lineRule="auto"/>
        <w:ind w:firstLine="422" w:firstLineChars="200"/>
        <w:jc w:val="left"/>
        <w:rPr>
          <w:rFonts w:hint="eastAsia" w:ascii="宋体" w:hAnsi="宋体"/>
          <w:color w:val="323232"/>
          <w:sz w:val="24"/>
        </w:rPr>
      </w:pPr>
      <w:r>
        <w:rPr>
          <w:rFonts w:hint="eastAsia" w:ascii="Times New Roman" w:hAnsi="Times New Roman" w:eastAsia="宋体" w:cs="Times New Roman"/>
          <w:b/>
          <w:bCs/>
          <w:color w:val="auto"/>
          <w:kern w:val="0"/>
          <w:szCs w:val="21"/>
          <w:highlight w:val="none"/>
          <w:lang w:val="en-US" w:eastAsia="zh-CN"/>
        </w:rPr>
        <w:t>3. ......</w:t>
      </w:r>
    </w:p>
    <w:p w14:paraId="076CA02B">
      <w:pPr>
        <w:spacing w:line="360" w:lineRule="auto"/>
        <w:ind w:firstLine="480" w:firstLineChars="200"/>
        <w:jc w:val="left"/>
        <w:rPr>
          <w:rFonts w:hint="eastAsia" w:ascii="宋体" w:hAnsi="宋体" w:eastAsia="宋体" w:cs="宋体"/>
          <w:b w:val="0"/>
          <w:bCs w:val="0"/>
          <w:sz w:val="24"/>
          <w:szCs w:val="24"/>
          <w:lang w:val="en-US" w:eastAsia="zh-CN"/>
        </w:rPr>
      </w:pPr>
    </w:p>
    <w:p w14:paraId="6D1BCD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05431"/>
    <w:multiLevelType w:val="singleLevel"/>
    <w:tmpl w:val="90E05431"/>
    <w:lvl w:ilvl="0" w:tentative="0">
      <w:start w:val="2"/>
      <w:numFmt w:val="decimal"/>
      <w:suff w:val="nothing"/>
      <w:lvlText w:val="%1）"/>
      <w:lvlJc w:val="left"/>
    </w:lvl>
  </w:abstractNum>
  <w:abstractNum w:abstractNumId="1">
    <w:nsid w:val="AC73A978"/>
    <w:multiLevelType w:val="singleLevel"/>
    <w:tmpl w:val="AC73A978"/>
    <w:lvl w:ilvl="0" w:tentative="0">
      <w:start w:val="1"/>
      <w:numFmt w:val="decimal"/>
      <w:suff w:val="nothing"/>
      <w:lvlText w:val="%1）"/>
      <w:lvlJc w:val="left"/>
    </w:lvl>
  </w:abstractNum>
  <w:abstractNum w:abstractNumId="2">
    <w:nsid w:val="C22488CD"/>
    <w:multiLevelType w:val="singleLevel"/>
    <w:tmpl w:val="C22488CD"/>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54F49"/>
    <w:rsid w:val="1887527E"/>
    <w:rsid w:val="324A67CF"/>
    <w:rsid w:val="40754F49"/>
    <w:rsid w:val="411E04AF"/>
    <w:rsid w:val="428E40E4"/>
    <w:rsid w:val="48F15255"/>
    <w:rsid w:val="49270534"/>
    <w:rsid w:val="4CF65190"/>
    <w:rsid w:val="54B83E6A"/>
    <w:rsid w:val="583E0CB1"/>
    <w:rsid w:val="6143039D"/>
    <w:rsid w:val="6456073D"/>
    <w:rsid w:val="79D55ECC"/>
    <w:rsid w:val="7EB81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customStyle="1" w:styleId="8">
    <w:name w:val="表格"/>
    <w:basedOn w:val="1"/>
    <w:qFormat/>
    <w:uiPriority w:val="0"/>
    <w:pPr>
      <w:spacing w:line="276" w:lineRule="auto"/>
      <w:jc w:val="center"/>
    </w:pPr>
    <w:rPr>
      <w:szCs w:val="21"/>
    </w:rPr>
  </w:style>
  <w:style w:type="paragraph" w:customStyle="1" w:styleId="9">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7238</Words>
  <Characters>7627</Characters>
  <Lines>0</Lines>
  <Paragraphs>0</Paragraphs>
  <TotalTime>3</TotalTime>
  <ScaleCrop>false</ScaleCrop>
  <LinksUpToDate>false</LinksUpToDate>
  <CharactersWithSpaces>7676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2025-05-15T06:40:00Z</dcterms:created>
  <dc:creator>Easy～</dc:creator>
  <cp:lastModifiedBy>Easy～</cp:lastModifiedBy>
  <cp:lastPrinted>2025-05-15T08:37:00Z</cp:lastPrinted>
  <dcterms:modified xsi:type="dcterms:W3CDTF">2025-05-23T09:00:31Z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788F8958687F455CA00D35E3CE69BDCF_11</vt:lpwstr>
  </property>
  <property fmtid="{D5CDD505-2E9C-101B-9397-08002B2CF9AE}" pid="4" name="KSOTemplateDocerSaveRecord">
    <vt:lpwstr>eyJoZGlkIjoiMjg2YzcyMGZjNmQ4Yjc2ZTYyMjI0NTdjYzZhZGUzZjMiLCJ1c2VySWQiOiIxMzAwOTE3NzAzIn0=</vt:lpwstr>
  </property>
</Properties>
</file>