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Verdana" w:hAnsi="Verdana"/>
          <w:b/>
          <w:bCs/>
          <w:sz w:val="32"/>
          <w:szCs w:val="32"/>
        </w:rPr>
      </w:pPr>
      <w:r>
        <w:rPr>
          <w:rFonts w:hint="eastAsia" w:ascii="Verdana" w:hAnsi="Verdana"/>
          <w:b/>
          <w:bCs/>
          <w:sz w:val="32"/>
          <w:szCs w:val="32"/>
        </w:rPr>
        <w:t>上海电力学院优秀易班网络班级申报通知</w:t>
      </w:r>
    </w:p>
    <w:p>
      <w:pPr>
        <w:rPr>
          <w:rFonts w:hint="eastAsia"/>
          <w:color w:val="414141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各二级学院：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学校关于进一步推进易班班级建设的工作要求，我校各学生班级在校易班发展中心的领导下，在各二级学院的指导下，积极、有效的开展易班优秀班级创建活动。为通过树立典型，发挥先进班级的示范引导作用，特决定开展2014年度上海电力学院优秀易班网络班级申报评选，相关事宜通知如下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评选条件和要求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1、班级中达到全员注册易班并加入到对应易班班级；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2、班级相册、网盘等内容充实，班级具有个性化logo；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3、在班级中以发帖或微博的形式，发布班级各项事务及通知；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4、在班级中开展易班主题活动，并有线上体现和展示；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5、建设期间，班级EGPA值有显著增长。</w:t>
      </w:r>
    </w:p>
    <w:p>
      <w:pPr>
        <w:spacing w:line="360" w:lineRule="auto"/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二、评选办法和时间安排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1、各班级可根据《</w:t>
      </w:r>
      <w:r>
        <w:rPr>
          <w:sz w:val="28"/>
          <w:szCs w:val="28"/>
        </w:rPr>
        <w:t>关于寒假期间开展我校易班班级建设工作的通知</w:t>
      </w:r>
      <w:r>
        <w:rPr>
          <w:rFonts w:hint="eastAsia"/>
          <w:sz w:val="28"/>
          <w:szCs w:val="28"/>
        </w:rPr>
        <w:t>》，本着实事求是、重在建设的原则在班级总结的基础上，凡符合条件的可填写《上海电力学院优秀易班网络班级评选推荐表》，并于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>25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上交所在二级学院。</w:t>
      </w:r>
      <w:bookmarkStart w:id="0" w:name="_GoBack"/>
      <w:bookmarkEnd w:id="0"/>
    </w:p>
    <w:p>
      <w:pPr>
        <w:widowControl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2、各二级学院根据申报班级建设实际情况，认真组织评选、推荐工作，在《上海电力学院优秀易班网络班级评选推荐表》上填写意见，并于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>30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将推荐名单及申报表一同汇总至校学工部易班工作办公室。</w:t>
      </w:r>
    </w:p>
    <w:p>
      <w:pPr>
        <w:widowControl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、学校将根据各班级申报优秀易班网络班级的实施情况</w:t>
      </w:r>
      <w:r>
        <w:rPr>
          <w:rFonts w:hint="eastAsia"/>
          <w:sz w:val="28"/>
          <w:szCs w:val="28"/>
          <w:lang w:eastAsia="zh-CN"/>
        </w:rPr>
        <w:t>、班级</w:t>
      </w:r>
      <w:r>
        <w:rPr>
          <w:rFonts w:hint="eastAsia"/>
          <w:sz w:val="28"/>
          <w:szCs w:val="28"/>
          <w:lang w:val="en-US" w:eastAsia="zh-CN"/>
        </w:rPr>
        <w:t>EGPA值实际变化</w:t>
      </w:r>
      <w:r>
        <w:rPr>
          <w:rFonts w:hint="eastAsia"/>
          <w:sz w:val="28"/>
          <w:szCs w:val="28"/>
        </w:rPr>
        <w:t>与《上海电力学院优秀易班网络班级评选推荐表》对照检查、评审。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40" w:firstLineChars="2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上海电力学院学工部</w:t>
      </w:r>
    </w:p>
    <w:p>
      <w:pPr>
        <w:ind w:firstLine="6160" w:firstLineChars="2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二○一四年四月</w:t>
      </w: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ascii="Times New Roman" w:hAnsi="华文中宋" w:eastAsia="华文中宋"/>
          <w:b/>
          <w:kern w:val="0"/>
          <w:sz w:val="36"/>
          <w:szCs w:val="44"/>
        </w:rPr>
      </w:pPr>
      <w:r>
        <w:rPr>
          <w:rFonts w:hint="eastAsia" w:ascii="Times New Roman" w:hAnsi="华文中宋" w:eastAsia="华文中宋"/>
          <w:b/>
          <w:kern w:val="0"/>
          <w:sz w:val="36"/>
          <w:szCs w:val="44"/>
          <w:lang w:eastAsia="zh-CN"/>
        </w:rPr>
        <w:t>上海电力学院</w:t>
      </w:r>
      <w:r>
        <w:rPr>
          <w:rFonts w:ascii="Times New Roman" w:hAnsi="华文中宋" w:eastAsia="华文中宋"/>
          <w:b/>
          <w:kern w:val="0"/>
          <w:sz w:val="36"/>
          <w:szCs w:val="44"/>
        </w:rPr>
        <w:t>优秀</w:t>
      </w:r>
      <w:r>
        <w:rPr>
          <w:rFonts w:hint="eastAsia" w:ascii="Times New Roman" w:hAnsi="华文中宋" w:eastAsia="华文中宋"/>
          <w:b/>
          <w:kern w:val="0"/>
          <w:sz w:val="36"/>
          <w:szCs w:val="44"/>
          <w:lang w:eastAsia="zh-CN"/>
        </w:rPr>
        <w:t>易班</w:t>
      </w:r>
      <w:r>
        <w:rPr>
          <w:rFonts w:hint="eastAsia" w:ascii="Times New Roman" w:hAnsi="华文中宋" w:eastAsia="华文中宋"/>
          <w:b/>
          <w:kern w:val="0"/>
          <w:sz w:val="36"/>
          <w:szCs w:val="44"/>
        </w:rPr>
        <w:t>网络</w:t>
      </w:r>
      <w:r>
        <w:rPr>
          <w:rFonts w:ascii="Times New Roman" w:hAnsi="华文中宋" w:eastAsia="华文中宋"/>
          <w:b/>
          <w:kern w:val="0"/>
          <w:sz w:val="36"/>
          <w:szCs w:val="44"/>
        </w:rPr>
        <w:t>班级评选推荐表</w:t>
      </w:r>
    </w:p>
    <w:p>
      <w:pPr>
        <w:widowControl/>
        <w:jc w:val="center"/>
        <w:rPr>
          <w:rFonts w:ascii="Times New Roman" w:hAnsi="华文中宋" w:eastAsia="华文中宋"/>
          <w:b/>
          <w:kern w:val="0"/>
          <w:sz w:val="24"/>
          <w:szCs w:val="24"/>
        </w:rPr>
      </w:pPr>
    </w:p>
    <w:p>
      <w:pPr>
        <w:snapToGrid w:val="0"/>
        <w:jc w:val="righ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4"/>
        </w:rPr>
        <w:t xml:space="preserve">                                 </w:t>
      </w:r>
      <w:r>
        <w:rPr>
          <w:rFonts w:ascii="Times New Roman" w:hAnsi="Times New Roman" w:eastAsia="仿宋_GB2312"/>
          <w:b/>
          <w:sz w:val="28"/>
          <w:szCs w:val="28"/>
        </w:rPr>
        <w:t>填表日期：      年   月   日</w:t>
      </w:r>
    </w:p>
    <w:tbl>
      <w:tblPr>
        <w:tblW w:w="8743" w:type="dxa"/>
        <w:jc w:val="center"/>
        <w:tblInd w:w="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226"/>
        <w:gridCol w:w="2540"/>
        <w:gridCol w:w="133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班级链接</w:t>
            </w:r>
          </w:p>
        </w:tc>
        <w:tc>
          <w:tcPr>
            <w:tcW w:w="4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班级人数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班级辅导员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班长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27" w:hRule="atLeast"/>
          <w:jc w:val="center"/>
        </w:trPr>
        <w:tc>
          <w:tcPr>
            <w:tcW w:w="16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班级主要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建设内容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介绍</w:t>
            </w:r>
          </w:p>
        </w:tc>
        <w:tc>
          <w:tcPr>
            <w:tcW w:w="7114" w:type="dxa"/>
            <w:gridSpan w:val="4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（请突出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易班班级建设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情况，限500字以内）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629" w:type="dxa"/>
            <w:textDirection w:val="tbRlV"/>
            <w:vAlign w:val="center"/>
          </w:tcPr>
          <w:p>
            <w:pPr>
              <w:ind w:right="113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学院易班学生工作站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114" w:type="dxa"/>
            <w:gridSpan w:val="4"/>
            <w:vAlign w:val="bottom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签字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ind w:firstLine="4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629" w:type="dxa"/>
            <w:textDirection w:val="tbRlV"/>
            <w:vAlign w:val="center"/>
          </w:tcPr>
          <w:p>
            <w:pPr>
              <w:ind w:right="113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校易班学生工作总站意见</w:t>
            </w:r>
          </w:p>
        </w:tc>
        <w:tc>
          <w:tcPr>
            <w:tcW w:w="7114" w:type="dxa"/>
            <w:gridSpan w:val="4"/>
            <w:vAlign w:val="bottom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签字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ind w:firstLine="48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ind w:right="140"/>
        <w:jc w:val="left"/>
        <w:rPr>
          <w:rFonts w:hint="eastAsia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另：请附上符合评选条件的相关资料。</w:t>
      </w:r>
    </w:p>
    <w:sectPr>
      <w:pgSz w:w="11906" w:h="16838"/>
      <w:pgMar w:top="1134" w:right="1800" w:bottom="1134" w:left="1800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90807456">
    <w:nsid w:val="410466A0"/>
    <w:multiLevelType w:val="multilevel"/>
    <w:tmpl w:val="410466A0"/>
    <w:lvl w:ilvl="0" w:tentative="1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908074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0"/>
    <w:rPr/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</Words>
  <Characters>679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2014-04-02T05:00:00Z</dcterms:created>
  <dc:creator>XL</dc:creator>
  <cp:lastModifiedBy>yaolili</cp:lastModifiedBy>
  <cp:lastPrinted>2014-04-17T01:38:00Z</cp:lastPrinted>
  <dcterms:modified xsi:type="dcterms:W3CDTF">2014-04-18T03:04:09Z</dcterms:modified>
  <dc:title>上海电力学院优秀易班网络班级（寒假）申报通知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