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3BB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主题案例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规范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要求</w:t>
      </w:r>
    </w:p>
    <w:p w14:paraId="65D1059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/>
        <w:textAlignment w:val="auto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案例开发与编写要始终坚持正确政治方向，全面贯彻落实习近平新时代中国特色社会主义思想，严格遵守国家法律法规，做到格式、体例、内容等规范。</w:t>
      </w:r>
    </w:p>
    <w:p w14:paraId="7400BB48">
      <w:pPr>
        <w:pStyle w:val="6"/>
        <w:numPr>
          <w:ilvl w:val="0"/>
          <w:numId w:val="1"/>
        </w:numPr>
        <w:spacing w:before="156" w:beforeLines="50"/>
        <w:ind w:firstLine="641" w:firstLineChars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形式要求</w:t>
      </w:r>
    </w:p>
    <w:p w14:paraId="4CA3E7A4">
      <w:pPr>
        <w:pStyle w:val="6"/>
        <w:numPr>
          <w:ilvl w:val="0"/>
          <w:numId w:val="2"/>
        </w:numPr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教学型案例</w:t>
      </w:r>
      <w:r>
        <w:rPr>
          <w:rFonts w:hint="eastAsia" w:eastAsia="仿宋_GB2312"/>
          <w:bCs/>
          <w:sz w:val="28"/>
          <w:szCs w:val="28"/>
        </w:rPr>
        <w:t>：</w:t>
      </w:r>
      <w:r>
        <w:rPr>
          <w:rFonts w:eastAsia="仿宋_GB2312"/>
          <w:bCs/>
          <w:sz w:val="28"/>
          <w:szCs w:val="28"/>
        </w:rPr>
        <w:t>应包含案例正文、教学指导手册</w:t>
      </w:r>
      <w:r>
        <w:rPr>
          <w:rFonts w:hint="eastAsia" w:eastAsia="仿宋_GB2312"/>
          <w:bCs/>
          <w:sz w:val="28"/>
          <w:szCs w:val="28"/>
          <w:lang w:eastAsia="zh-CN"/>
        </w:rPr>
        <w:t>；</w:t>
      </w:r>
    </w:p>
    <w:p w14:paraId="4670CF31">
      <w:pPr>
        <w:pStyle w:val="6"/>
        <w:numPr>
          <w:ilvl w:val="0"/>
          <w:numId w:val="2"/>
        </w:numPr>
        <w:ind w:firstLine="640"/>
        <w:rPr>
          <w:rFonts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>研究型案例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应包含案例正文</w:t>
      </w:r>
      <w:r>
        <w:rPr>
          <w:rFonts w:hint="eastAsia" w:eastAsia="仿宋_GB2312"/>
          <w:sz w:val="28"/>
          <w:szCs w:val="28"/>
        </w:rPr>
        <w:t>；</w:t>
      </w:r>
    </w:p>
    <w:p w14:paraId="41AE34EE">
      <w:pPr>
        <w:pStyle w:val="6"/>
        <w:numPr>
          <w:ilvl w:val="0"/>
          <w:numId w:val="1"/>
        </w:numPr>
        <w:spacing w:before="156" w:beforeLines="50"/>
        <w:ind w:firstLine="641" w:firstLineChars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内容规范</w:t>
      </w:r>
    </w:p>
    <w:p w14:paraId="0CCCCFDA">
      <w:pPr>
        <w:pStyle w:val="7"/>
        <w:numPr>
          <w:ilvl w:val="0"/>
          <w:numId w:val="3"/>
        </w:numPr>
        <w:tabs>
          <w:tab w:val="left" w:pos="142"/>
        </w:tabs>
        <w:spacing w:line="560" w:lineRule="exact"/>
        <w:ind w:firstLineChars="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案例正文/视频</w:t>
      </w:r>
    </w:p>
    <w:p w14:paraId="6E90AB46">
      <w:pPr>
        <w:pStyle w:val="7"/>
        <w:tabs>
          <w:tab w:val="left" w:pos="142"/>
        </w:tabs>
        <w:spacing w:line="560" w:lineRule="exact"/>
        <w:ind w:firstLine="64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一般包括案例名称、中英文摘要及关键词、作者和版权相关信息、正文</w:t>
      </w:r>
      <w:r>
        <w:rPr>
          <w:rFonts w:hint="eastAsia" w:ascii="Times New Roman" w:hAnsi="Times New Roman" w:eastAsia="仿宋_GB2312"/>
          <w:sz w:val="28"/>
          <w:szCs w:val="28"/>
        </w:rPr>
        <w:t>/视频</w:t>
      </w:r>
      <w:r>
        <w:rPr>
          <w:rFonts w:ascii="Times New Roman" w:hAnsi="Times New Roman" w:eastAsia="仿宋_GB2312"/>
          <w:sz w:val="28"/>
          <w:szCs w:val="28"/>
        </w:rPr>
        <w:t>等内容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  <w:r>
        <w:rPr>
          <w:rFonts w:ascii="Times New Roman" w:hAnsi="Times New Roman" w:eastAsia="仿宋_GB2312"/>
          <w:sz w:val="28"/>
          <w:szCs w:val="28"/>
        </w:rPr>
        <w:t>篇幅请勿过长或过短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一般</w:t>
      </w:r>
      <w:r>
        <w:rPr>
          <w:rFonts w:hint="eastAsia" w:ascii="Times New Roman" w:hAnsi="Times New Roman" w:eastAsia="仿宋_GB2312"/>
          <w:sz w:val="28"/>
          <w:szCs w:val="28"/>
        </w:rPr>
        <w:t>文字案例</w:t>
      </w:r>
      <w:r>
        <w:rPr>
          <w:rFonts w:ascii="Times New Roman" w:hAnsi="Times New Roman" w:eastAsia="仿宋_GB2312"/>
          <w:sz w:val="28"/>
          <w:szCs w:val="28"/>
        </w:rPr>
        <w:t>不少于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/>
          <w:sz w:val="28"/>
          <w:szCs w:val="28"/>
        </w:rPr>
        <w:t>000字</w:t>
      </w:r>
      <w:r>
        <w:rPr>
          <w:rFonts w:hint="eastAsia" w:ascii="Times New Roman" w:hAnsi="Times New Roman" w:eastAsia="仿宋_GB2312"/>
          <w:bCs/>
          <w:sz w:val="28"/>
          <w:szCs w:val="28"/>
        </w:rPr>
        <w:t>。</w:t>
      </w:r>
    </w:p>
    <w:p w14:paraId="48266B31">
      <w:pPr>
        <w:pStyle w:val="7"/>
        <w:numPr>
          <w:ilvl w:val="0"/>
          <w:numId w:val="4"/>
        </w:numPr>
        <w:spacing w:line="560" w:lineRule="exact"/>
        <w:ind w:firstLine="643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案例名称。</w:t>
      </w:r>
      <w:r>
        <w:rPr>
          <w:rFonts w:ascii="Times New Roman" w:hAnsi="Times New Roman" w:eastAsia="仿宋_GB2312"/>
          <w:bCs/>
          <w:sz w:val="28"/>
          <w:szCs w:val="28"/>
        </w:rPr>
        <w:t>以明确清晰、简洁易懂的中性词语为宜。一般应包含有关主体/单位的真实名称，如真实名称需要做匿名化处理的请在首页</w:t>
      </w:r>
      <w:r>
        <w:rPr>
          <w:rFonts w:hint="eastAsia" w:ascii="Times New Roman" w:hAnsi="Times New Roman" w:eastAsia="仿宋_GB2312"/>
          <w:bCs/>
          <w:sz w:val="28"/>
          <w:szCs w:val="28"/>
        </w:rPr>
        <w:t>（</w:t>
      </w:r>
      <w:r>
        <w:rPr>
          <w:rFonts w:ascii="Times New Roman" w:hAnsi="Times New Roman" w:eastAsia="仿宋_GB2312"/>
          <w:bCs/>
          <w:sz w:val="28"/>
          <w:szCs w:val="28"/>
        </w:rPr>
        <w:t>脚注处</w:t>
      </w:r>
      <w:r>
        <w:rPr>
          <w:rFonts w:hint="eastAsia" w:ascii="Times New Roman" w:hAnsi="Times New Roman" w:eastAsia="仿宋_GB2312"/>
          <w:bCs/>
          <w:sz w:val="28"/>
          <w:szCs w:val="28"/>
        </w:rPr>
        <w:t>）</w:t>
      </w:r>
      <w:r>
        <w:rPr>
          <w:rFonts w:ascii="Times New Roman" w:hAnsi="Times New Roman" w:eastAsia="仿宋_GB2312"/>
          <w:bCs/>
          <w:sz w:val="28"/>
          <w:szCs w:val="28"/>
        </w:rPr>
        <w:t>说明。</w:t>
      </w:r>
    </w:p>
    <w:p w14:paraId="08CC6710">
      <w:pPr>
        <w:pStyle w:val="7"/>
        <w:numPr>
          <w:ilvl w:val="0"/>
          <w:numId w:val="4"/>
        </w:numPr>
        <w:spacing w:line="560" w:lineRule="exact"/>
        <w:ind w:firstLine="643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中英文摘要及关键词。</w:t>
      </w:r>
      <w:r>
        <w:rPr>
          <w:rFonts w:ascii="Times New Roman" w:hAnsi="Times New Roman" w:eastAsia="仿宋_GB2312"/>
          <w:sz w:val="28"/>
          <w:szCs w:val="28"/>
        </w:rPr>
        <w:t>摘要是对案例内容的简要描述，一般不作评论分析，300字左右；关键词3-5个。</w:t>
      </w:r>
    </w:p>
    <w:p w14:paraId="31F68A5A">
      <w:pPr>
        <w:pStyle w:val="7"/>
        <w:numPr>
          <w:ilvl w:val="0"/>
          <w:numId w:val="4"/>
        </w:numPr>
        <w:spacing w:line="560" w:lineRule="exact"/>
        <w:ind w:firstLine="643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正文</w:t>
      </w:r>
      <w:r>
        <w:rPr>
          <w:rFonts w:hint="eastAsia" w:ascii="Times New Roman" w:hAnsi="Times New Roman" w:eastAsia="仿宋_GB2312"/>
          <w:b/>
          <w:sz w:val="28"/>
          <w:szCs w:val="28"/>
        </w:rPr>
        <w:t>/视频</w:t>
      </w:r>
      <w:r>
        <w:rPr>
          <w:rFonts w:ascii="Times New Roman" w:hAnsi="Times New Roman" w:eastAsia="仿宋_GB2312"/>
          <w:b/>
          <w:sz w:val="28"/>
          <w:szCs w:val="28"/>
        </w:rPr>
        <w:t>。</w:t>
      </w:r>
      <w:r>
        <w:rPr>
          <w:rFonts w:ascii="Times New Roman" w:hAnsi="Times New Roman" w:eastAsia="仿宋_GB2312"/>
          <w:sz w:val="28"/>
          <w:szCs w:val="28"/>
        </w:rPr>
        <w:t>内容为基于客观事实的真实描述，一般应包含必要的时间、地点、主要人物、关键事件等信息。</w:t>
      </w:r>
      <w:r>
        <w:rPr>
          <w:rFonts w:hint="eastAsia" w:ascii="Times New Roman" w:hAnsi="Times New Roman" w:eastAsia="仿宋_GB2312"/>
          <w:sz w:val="28"/>
          <w:szCs w:val="28"/>
        </w:rPr>
        <w:t>内容</w:t>
      </w:r>
      <w:r>
        <w:rPr>
          <w:rFonts w:ascii="Times New Roman" w:hAnsi="Times New Roman" w:eastAsia="仿宋_GB2312"/>
          <w:sz w:val="28"/>
          <w:szCs w:val="28"/>
        </w:rPr>
        <w:t>完整准确、条理清晰、决策点突出，数据真实可靠。</w:t>
      </w:r>
    </w:p>
    <w:p w14:paraId="26DBD3BA">
      <w:pPr>
        <w:pStyle w:val="7"/>
        <w:numPr>
          <w:ilvl w:val="0"/>
          <w:numId w:val="4"/>
        </w:numPr>
        <w:spacing w:line="560" w:lineRule="exact"/>
        <w:ind w:firstLine="643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其他材料。</w:t>
      </w:r>
      <w:r>
        <w:rPr>
          <w:rFonts w:ascii="Times New Roman" w:hAnsi="Times New Roman" w:eastAsia="仿宋_GB2312"/>
          <w:bCs/>
          <w:sz w:val="28"/>
          <w:szCs w:val="28"/>
        </w:rPr>
        <w:t>脚注：对正文</w:t>
      </w:r>
      <w:r>
        <w:rPr>
          <w:rFonts w:hint="eastAsia" w:ascii="Times New Roman" w:hAnsi="Times New Roman" w:eastAsia="仿宋_GB2312"/>
          <w:bCs/>
          <w:sz w:val="28"/>
          <w:szCs w:val="28"/>
        </w:rPr>
        <w:t>/视频</w:t>
      </w:r>
      <w:r>
        <w:rPr>
          <w:rFonts w:ascii="Times New Roman" w:hAnsi="Times New Roman" w:eastAsia="仿宋_GB2312"/>
          <w:bCs/>
          <w:sz w:val="28"/>
          <w:szCs w:val="28"/>
        </w:rPr>
        <w:t>中某些技术问题、必要情况进行注释</w:t>
      </w:r>
      <w:r>
        <w:rPr>
          <w:rFonts w:hint="eastAsia" w:ascii="Times New Roman" w:hAnsi="Times New Roman" w:eastAsia="仿宋_GB2312"/>
          <w:bCs/>
          <w:sz w:val="28"/>
          <w:szCs w:val="28"/>
        </w:rPr>
        <w:t>；</w:t>
      </w:r>
      <w:r>
        <w:rPr>
          <w:rFonts w:ascii="Times New Roman" w:hAnsi="Times New Roman" w:eastAsia="仿宋_GB2312"/>
          <w:bCs/>
          <w:sz w:val="28"/>
          <w:szCs w:val="28"/>
        </w:rPr>
        <w:t>附录：有助于理解且不便在正文</w:t>
      </w:r>
      <w:r>
        <w:rPr>
          <w:rFonts w:hint="eastAsia" w:ascii="Times New Roman" w:hAnsi="Times New Roman" w:eastAsia="仿宋_GB2312"/>
          <w:bCs/>
          <w:sz w:val="28"/>
          <w:szCs w:val="28"/>
        </w:rPr>
        <w:t>/视频</w:t>
      </w:r>
      <w:r>
        <w:rPr>
          <w:rFonts w:ascii="Times New Roman" w:hAnsi="Times New Roman" w:eastAsia="仿宋_GB2312"/>
          <w:bCs/>
          <w:sz w:val="28"/>
          <w:szCs w:val="28"/>
        </w:rPr>
        <w:t>中体现的数据、图表及相关背景资料等。</w:t>
      </w:r>
    </w:p>
    <w:p w14:paraId="43198299">
      <w:pPr>
        <w:pStyle w:val="7"/>
        <w:numPr>
          <w:ilvl w:val="0"/>
          <w:numId w:val="3"/>
        </w:numPr>
        <w:tabs>
          <w:tab w:val="left" w:pos="142"/>
        </w:tabs>
        <w:spacing w:line="560" w:lineRule="exact"/>
        <w:ind w:firstLineChars="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教学指导手册</w:t>
      </w:r>
    </w:p>
    <w:p w14:paraId="20AFF818">
      <w:pPr>
        <w:pStyle w:val="7"/>
        <w:tabs>
          <w:tab w:val="left" w:pos="142"/>
        </w:tabs>
        <w:spacing w:line="56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教学指导手册应与案例</w:t>
      </w:r>
      <w:r>
        <w:rPr>
          <w:rFonts w:hint="eastAsia" w:ascii="Times New Roman" w:hAnsi="Times New Roman" w:eastAsia="仿宋_GB2312"/>
          <w:sz w:val="28"/>
          <w:szCs w:val="28"/>
        </w:rPr>
        <w:t>正文/视频</w:t>
      </w:r>
      <w:r>
        <w:rPr>
          <w:rFonts w:ascii="Times New Roman" w:hAnsi="Times New Roman" w:eastAsia="仿宋_GB2312"/>
          <w:sz w:val="28"/>
          <w:szCs w:val="28"/>
        </w:rPr>
        <w:t>对应，一般包括教学目标、启发思考题、分析思路、案例分析、课堂设计、要点汇总等内容。篇幅请勿过长或过短。</w:t>
      </w:r>
    </w:p>
    <w:p w14:paraId="615E45F3">
      <w:pPr>
        <w:pStyle w:val="7"/>
        <w:numPr>
          <w:ilvl w:val="0"/>
          <w:numId w:val="5"/>
        </w:numPr>
        <w:spacing w:line="560" w:lineRule="exact"/>
        <w:ind w:firstLine="643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教学目标。</w:t>
      </w:r>
      <w:r>
        <w:rPr>
          <w:rFonts w:ascii="Times New Roman" w:hAnsi="Times New Roman" w:eastAsia="仿宋_GB2312"/>
          <w:sz w:val="28"/>
          <w:szCs w:val="28"/>
        </w:rPr>
        <w:t>包含教学用途、授课对象及适用课程等。</w:t>
      </w:r>
    </w:p>
    <w:p w14:paraId="5C5B9AE6">
      <w:pPr>
        <w:pStyle w:val="7"/>
        <w:numPr>
          <w:ilvl w:val="0"/>
          <w:numId w:val="5"/>
        </w:numPr>
        <w:spacing w:line="560" w:lineRule="exact"/>
        <w:ind w:firstLine="643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启发思考题。</w:t>
      </w:r>
      <w:r>
        <w:rPr>
          <w:rFonts w:ascii="Times New Roman" w:hAnsi="Times New Roman" w:eastAsia="仿宋_GB2312"/>
          <w:sz w:val="28"/>
          <w:szCs w:val="28"/>
        </w:rPr>
        <w:t>根据教学目标和案例内容提出有针对性的课堂讨论问题，3-5题为宜。</w:t>
      </w:r>
    </w:p>
    <w:p w14:paraId="125DA42D">
      <w:pPr>
        <w:pStyle w:val="7"/>
        <w:numPr>
          <w:ilvl w:val="0"/>
          <w:numId w:val="5"/>
        </w:numPr>
        <w:spacing w:line="560" w:lineRule="exact"/>
        <w:ind w:firstLine="643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分析思路。</w:t>
      </w:r>
      <w:r>
        <w:rPr>
          <w:rFonts w:ascii="Times New Roman" w:hAnsi="Times New Roman" w:eastAsia="仿宋_GB2312"/>
          <w:sz w:val="28"/>
          <w:szCs w:val="28"/>
        </w:rPr>
        <w:t>展示案例分析的逻辑结构，体现案例问题、相关知识点和理论内在的逻辑关系。</w:t>
      </w:r>
    </w:p>
    <w:p w14:paraId="0E3B2161">
      <w:pPr>
        <w:pStyle w:val="7"/>
        <w:numPr>
          <w:ilvl w:val="0"/>
          <w:numId w:val="5"/>
        </w:numPr>
        <w:spacing w:line="560" w:lineRule="exact"/>
        <w:ind w:firstLine="643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案例分析。</w:t>
      </w:r>
      <w:r>
        <w:rPr>
          <w:rFonts w:ascii="Times New Roman" w:hAnsi="Times New Roman" w:eastAsia="仿宋_GB2312"/>
          <w:sz w:val="28"/>
          <w:szCs w:val="28"/>
        </w:rPr>
        <w:t>基于启发思考题，选取适宜的理论、分析方法和工具对案例进行分析。</w:t>
      </w:r>
    </w:p>
    <w:p w14:paraId="12E29977">
      <w:pPr>
        <w:pStyle w:val="7"/>
        <w:numPr>
          <w:ilvl w:val="0"/>
          <w:numId w:val="5"/>
        </w:numPr>
        <w:spacing w:line="560" w:lineRule="exact"/>
        <w:ind w:firstLine="643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课堂设计。</w:t>
      </w:r>
      <w:r>
        <w:rPr>
          <w:rFonts w:ascii="Times New Roman" w:hAnsi="Times New Roman" w:eastAsia="仿宋_GB2312"/>
          <w:sz w:val="28"/>
          <w:szCs w:val="28"/>
        </w:rPr>
        <w:t>包括时间安排、教学形式与环节设计等，必要时可附有板书计划。</w:t>
      </w:r>
    </w:p>
    <w:p w14:paraId="24B2B854">
      <w:pPr>
        <w:pStyle w:val="7"/>
        <w:numPr>
          <w:ilvl w:val="0"/>
          <w:numId w:val="5"/>
        </w:numPr>
        <w:spacing w:line="560" w:lineRule="exact"/>
        <w:ind w:firstLine="643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要点汇总。</w:t>
      </w:r>
      <w:r>
        <w:rPr>
          <w:rFonts w:ascii="Times New Roman" w:hAnsi="Times New Roman" w:eastAsia="仿宋_GB2312"/>
          <w:sz w:val="28"/>
          <w:szCs w:val="28"/>
        </w:rPr>
        <w:t>梳理案例涉及的主要教学知识点、总结和淬炼隐含的案例启示等。</w:t>
      </w:r>
    </w:p>
    <w:p w14:paraId="18AEB3BC">
      <w:pPr>
        <w:pStyle w:val="7"/>
        <w:numPr>
          <w:ilvl w:val="0"/>
          <w:numId w:val="5"/>
        </w:numPr>
        <w:spacing w:line="560" w:lineRule="exact"/>
        <w:ind w:firstLine="643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其他说明（酌情）。</w:t>
      </w:r>
      <w:r>
        <w:rPr>
          <w:rFonts w:ascii="Times New Roman" w:hAnsi="Times New Roman" w:eastAsia="仿宋_GB2312"/>
          <w:sz w:val="28"/>
          <w:szCs w:val="28"/>
        </w:rPr>
        <w:t>包括推荐阅读的相关资料、辅助教学材料、案例后续进展等。</w:t>
      </w:r>
    </w:p>
    <w:p w14:paraId="19AE1243">
      <w:pPr>
        <w:pStyle w:val="6"/>
        <w:numPr>
          <w:ilvl w:val="0"/>
          <w:numId w:val="1"/>
        </w:numPr>
        <w:spacing w:before="156" w:beforeLines="50"/>
        <w:ind w:firstLine="641" w:firstLineChars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体例格式</w:t>
      </w:r>
    </w:p>
    <w:p w14:paraId="211B1882">
      <w:pPr>
        <w:pStyle w:val="7"/>
        <w:spacing w:line="560" w:lineRule="exact"/>
        <w:ind w:firstLine="495" w:firstLineChars="177"/>
        <w:rPr>
          <w:rFonts w:ascii="Times New Roman" w:hAnsi="Times New Roman" w:eastAsia="仿宋_GB231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案例</w:t>
      </w:r>
      <w:r>
        <w:rPr>
          <w:rFonts w:hint="eastAsia" w:ascii="Times New Roman" w:hAnsi="Times New Roman" w:eastAsia="仿宋_GB2312"/>
          <w:sz w:val="28"/>
          <w:szCs w:val="28"/>
        </w:rPr>
        <w:t>封面、</w:t>
      </w:r>
      <w:r>
        <w:rPr>
          <w:rFonts w:ascii="Times New Roman" w:hAnsi="Times New Roman" w:eastAsia="仿宋_GB2312"/>
          <w:sz w:val="28"/>
          <w:szCs w:val="28"/>
        </w:rPr>
        <w:t>正文、教学指导手册应按下述格式分别排版：</w:t>
      </w:r>
    </w:p>
    <w:p w14:paraId="39DEE8D4">
      <w:pPr>
        <w:pStyle w:val="7"/>
        <w:numPr>
          <w:ilvl w:val="0"/>
          <w:numId w:val="6"/>
        </w:numPr>
        <w:tabs>
          <w:tab w:val="left" w:pos="142"/>
        </w:tabs>
        <w:spacing w:line="560" w:lineRule="exact"/>
        <w:ind w:left="0" w:firstLine="640" w:firstLineChars="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封面</w:t>
      </w:r>
    </w:p>
    <w:p w14:paraId="54D4D271">
      <w:pPr>
        <w:pStyle w:val="7"/>
        <w:spacing w:line="560" w:lineRule="exact"/>
        <w:ind w:firstLine="495" w:firstLineChars="177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案例名称黑体二号居中，其他各项内容宋体三号居中。</w:t>
      </w:r>
    </w:p>
    <w:p w14:paraId="0D04E35C">
      <w:pPr>
        <w:pStyle w:val="7"/>
        <w:numPr>
          <w:ilvl w:val="0"/>
          <w:numId w:val="6"/>
        </w:numPr>
        <w:tabs>
          <w:tab w:val="left" w:pos="142"/>
        </w:tabs>
        <w:spacing w:line="560" w:lineRule="exact"/>
        <w:ind w:left="0" w:firstLine="640" w:firstLineChars="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案例正文/教学指导手册</w:t>
      </w:r>
    </w:p>
    <w:p w14:paraId="62A3CF73">
      <w:pPr>
        <w:pStyle w:val="7"/>
        <w:numPr>
          <w:ilvl w:val="0"/>
          <w:numId w:val="7"/>
        </w:numPr>
        <w:tabs>
          <w:tab w:val="left" w:pos="142"/>
        </w:tabs>
        <w:spacing w:line="560" w:lineRule="exact"/>
        <w:ind w:firstLine="643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案例名称</w:t>
      </w:r>
    </w:p>
    <w:p w14:paraId="1C982C4D">
      <w:pPr>
        <w:pStyle w:val="7"/>
        <w:spacing w:line="560" w:lineRule="exact"/>
        <w:ind w:firstLine="495" w:firstLineChars="177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宋体三号、加粗、居中。</w:t>
      </w:r>
    </w:p>
    <w:p w14:paraId="11BAE6EB">
      <w:pPr>
        <w:pStyle w:val="7"/>
        <w:numPr>
          <w:ilvl w:val="0"/>
          <w:numId w:val="7"/>
        </w:numPr>
        <w:tabs>
          <w:tab w:val="left" w:pos="142"/>
        </w:tabs>
        <w:spacing w:line="560" w:lineRule="exact"/>
        <w:ind w:firstLine="643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作者署名</w:t>
      </w:r>
    </w:p>
    <w:p w14:paraId="32C01D19">
      <w:pPr>
        <w:pStyle w:val="7"/>
        <w:spacing w:line="560" w:lineRule="exact"/>
        <w:ind w:firstLine="495" w:firstLineChars="177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楷体三号，按顺序署名，空格隔开。</w:t>
      </w:r>
    </w:p>
    <w:p w14:paraId="62A26DF6">
      <w:pPr>
        <w:pStyle w:val="7"/>
        <w:numPr>
          <w:ilvl w:val="0"/>
          <w:numId w:val="7"/>
        </w:numPr>
        <w:tabs>
          <w:tab w:val="left" w:pos="142"/>
        </w:tabs>
        <w:spacing w:line="560" w:lineRule="exact"/>
        <w:ind w:firstLine="643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摘要和关键词</w:t>
      </w:r>
    </w:p>
    <w:p w14:paraId="7CFBD3FD">
      <w:pPr>
        <w:pStyle w:val="7"/>
        <w:tabs>
          <w:tab w:val="left" w:pos="142"/>
        </w:tabs>
        <w:spacing w:line="56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中文采用宋体小四号、英文采用Times New Roman小四号；首行缩进2字符，行距1.25倍，段前和段后各0.25行，两段对齐；关键词之间用顿号隔开；按照中文摘要、英文摘要、中文关键词、英文关键词的顺序排列。</w:t>
      </w:r>
    </w:p>
    <w:p w14:paraId="3AB153E2">
      <w:pPr>
        <w:pStyle w:val="7"/>
        <w:numPr>
          <w:ilvl w:val="0"/>
          <w:numId w:val="7"/>
        </w:numPr>
        <w:tabs>
          <w:tab w:val="left" w:pos="142"/>
        </w:tabs>
        <w:spacing w:line="560" w:lineRule="exact"/>
        <w:ind w:firstLine="643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正文内容</w:t>
      </w:r>
    </w:p>
    <w:p w14:paraId="5D043F6A">
      <w:pPr>
        <w:pStyle w:val="7"/>
        <w:spacing w:line="56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（1）一级标题采用宋体四号、加粗，二级标题采用宋体小四号、加粗，三级标题采用宋体小四号；各级标题采用阿拉伯数字编号（如：1．；2．；3．；…，1.1； 1.2；1.3；…），数字编号与标题内容间隔2个字符。</w:t>
      </w:r>
    </w:p>
    <w:p w14:paraId="626A639A">
      <w:pPr>
        <w:pStyle w:val="7"/>
        <w:spacing w:line="56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（2）正文采用宋体小四号，首行缩进2字符，行距1.25倍，段前和段后各0.25行，两端对齐。正文数字和英文字体均采用Times New Roman小四号。</w:t>
      </w:r>
    </w:p>
    <w:p w14:paraId="1A35BC8A">
      <w:pPr>
        <w:pStyle w:val="7"/>
        <w:spacing w:line="56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（3）脚注采用楷体小五号，单倍行距，段前和段后各0.25行，脚注和引文编号均使用阿拉伯数字1,2,3…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bCs/>
          <w:sz w:val="28"/>
          <w:szCs w:val="28"/>
        </w:rPr>
        <w:t>应附于有关内容同页下端，用横线与正文断开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 w14:paraId="7C2BB513">
      <w:pPr>
        <w:pStyle w:val="7"/>
        <w:spacing w:line="56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（4）图、表均使用阿拉伯数字依序、连续编号，如：图1，表1，公式1等。中文采用宋体五号、英文采用Times New Roman五号，加粗。图序及图名置于图的下方，居中，图序与图名之间空一格。表序及表名置于表的上方，居中，表序与表名之间空一格。</w:t>
      </w:r>
    </w:p>
    <w:p w14:paraId="6C95D6B7">
      <w:pPr>
        <w:pStyle w:val="7"/>
        <w:numPr>
          <w:ilvl w:val="0"/>
          <w:numId w:val="6"/>
        </w:numPr>
        <w:tabs>
          <w:tab w:val="left" w:pos="142"/>
        </w:tabs>
        <w:spacing w:line="560" w:lineRule="exact"/>
        <w:ind w:left="0" w:firstLine="640"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排版样例</w:t>
      </w:r>
      <w:r>
        <w:rPr>
          <w:rFonts w:ascii="Times New Roman" w:hAnsi="Times New Roman" w:eastAsia="仿宋_GB2312"/>
          <w:sz w:val="28"/>
          <w:szCs w:val="28"/>
        </w:rPr>
        <w:t>（附后）</w:t>
      </w:r>
    </w:p>
    <w:p w14:paraId="2E2AD198">
      <w:pPr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br w:type="page"/>
      </w:r>
    </w:p>
    <w:p w14:paraId="3364FB68">
      <w:pPr>
        <w:keepNext/>
        <w:keepLines/>
        <w:widowControl w:val="0"/>
        <w:spacing w:before="78" w:after="78" w:line="578" w:lineRule="auto"/>
        <w:jc w:val="left"/>
        <w:outlineLvl w:val="0"/>
        <w:rPr>
          <w:rFonts w:hint="default" w:ascii="Times New Roman" w:hAnsi="Times New Roman" w:eastAsia="宋体" w:cs="Times New Roman"/>
          <w:b/>
          <w:bCs/>
          <w:kern w:val="44"/>
          <w:sz w:val="28"/>
          <w:szCs w:val="4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44"/>
          <w:sz w:val="28"/>
          <w:szCs w:val="40"/>
          <w:lang w:val="en-US" w:eastAsia="zh-CN" w:bidi="ar-SA"/>
        </w:rPr>
        <w:t>封面</w:t>
      </w:r>
    </w:p>
    <w:p w14:paraId="24B4CD75">
      <w:pPr>
        <w:widowControl/>
        <w:spacing w:before="78" w:beforeLines="25" w:after="78" w:afterLines="25" w:line="300" w:lineRule="auto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40"/>
        </w:rPr>
      </w:pPr>
    </w:p>
    <w:p w14:paraId="7C8A984F">
      <w:pPr>
        <w:widowControl/>
        <w:tabs>
          <w:tab w:val="left" w:pos="3514"/>
          <w:tab w:val="left" w:pos="4382"/>
        </w:tabs>
        <w:spacing w:before="78" w:beforeLines="25" w:after="156" w:afterLines="50" w:line="600" w:lineRule="exact"/>
        <w:ind w:firstLine="212" w:firstLineChars="38"/>
        <w:jc w:val="center"/>
        <w:rPr>
          <w:rFonts w:hint="default" w:ascii="Times New Roman" w:hAnsi="Times New Roman" w:eastAsia="方正小标宋简体" w:cs="Times New Roman"/>
          <w:bCs/>
          <w:sz w:val="56"/>
          <w:szCs w:val="32"/>
        </w:rPr>
      </w:pPr>
      <w:r>
        <w:rPr>
          <w:rFonts w:hint="eastAsia" w:ascii="宋体" w:hAnsi="宋体" w:eastAsia="宋体" w:cs="宋体"/>
          <w:bCs/>
          <w:sz w:val="56"/>
          <w:szCs w:val="32"/>
        </w:rPr>
        <w:t>案 例 题 目</w:t>
      </w:r>
    </w:p>
    <w:p w14:paraId="704ADE6F">
      <w:pPr>
        <w:widowControl/>
        <w:tabs>
          <w:tab w:val="left" w:pos="3514"/>
          <w:tab w:val="left" w:pos="4382"/>
        </w:tabs>
        <w:spacing w:before="78" w:beforeLines="25" w:after="156" w:afterLines="50" w:line="600" w:lineRule="exact"/>
        <w:ind w:firstLine="640" w:firstLineChars="200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58A1640D">
      <w:pPr>
        <w:widowControl/>
        <w:tabs>
          <w:tab w:val="left" w:pos="4382"/>
        </w:tabs>
        <w:spacing w:before="78" w:beforeLines="25" w:after="78" w:afterLines="25" w:line="100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0CE4EBDE">
      <w:pPr>
        <w:widowControl/>
        <w:tabs>
          <w:tab w:val="left" w:pos="4382"/>
        </w:tabs>
        <w:spacing w:before="78" w:beforeLines="25" w:after="78" w:afterLines="25" w:line="1000" w:lineRule="exact"/>
        <w:ind w:firstLine="643" w:firstLineChars="200"/>
        <w:jc w:val="left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563245</wp:posOffset>
                </wp:positionV>
                <wp:extent cx="3346450" cy="6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46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55pt;margin-top:44.35pt;height:0.05pt;width:263.5pt;z-index:251662336;mso-width-relative:page;mso-height-relative:page;" filled="f" stroked="t" coordsize="21600,21600" o:gfxdata="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mTUHdYAAAAJAQAADwAAAAAAAAABACAAAAAi&#10;AAAAZHJzL2Rvd25yZXYueG1sUEsBAhQAFAAAAAgAh07iQHiZU2LTAQAAig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sz w:val="32"/>
          <w:szCs w:val="22"/>
        </w:rPr>
        <w:t>主题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Hans"/>
        </w:rPr>
        <w:t>方向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：              XXX                  </w:t>
      </w:r>
    </w:p>
    <w:p w14:paraId="237317F7">
      <w:pPr>
        <w:widowControl/>
        <w:tabs>
          <w:tab w:val="left" w:pos="4382"/>
        </w:tabs>
        <w:spacing w:before="78" w:beforeLines="25" w:after="78" w:afterLines="25" w:line="1000" w:lineRule="exact"/>
        <w:ind w:firstLine="643" w:firstLineChars="200"/>
        <w:jc w:val="left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546735</wp:posOffset>
                </wp:positionV>
                <wp:extent cx="285178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17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8pt;margin-top:43.05pt;height:0.05pt;width:224.55pt;z-index:251663360;mso-width-relative:page;mso-height-relative:page;" filled="f" stroked="t" coordsize="21600,21600" o:gfxdata="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li72bYAAAACQEAAA8AAAAAAAAAAQAgAAAA&#10;IgAAAGRycy9kb3ducmV2LnhtbFBLAQIUABQAAAAIAIdO4kDsOTpr0gEAAIg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Hans"/>
        </w:rPr>
        <w:t>专业领域/方向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：         XXX                         </w:t>
      </w:r>
    </w:p>
    <w:p w14:paraId="551DDB80">
      <w:pPr>
        <w:widowControl/>
        <w:tabs>
          <w:tab w:val="left" w:pos="4382"/>
        </w:tabs>
        <w:spacing w:before="78" w:beforeLines="25" w:after="78" w:afterLines="25" w:line="1000" w:lineRule="exact"/>
        <w:ind w:firstLine="640" w:firstLineChars="200"/>
        <w:jc w:val="left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572770</wp:posOffset>
                </wp:positionV>
                <wp:extent cx="3302000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5.1pt;height:0pt;width:260pt;z-index:251659264;mso-width-relative:page;mso-height-relative:page;" filled="f" stroked="t" coordsize="21600,21600" o:gfxdata="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FjngNQAAAAJAQAADwAAAAAAAAABACAAAAAiAAAAZHJz&#10;L2Rvd25yZXYueG1sUEsBAhQAFAAAAAgAh07iQF1PCxTPAQAAiA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sz w:val="32"/>
          <w:szCs w:val="22"/>
          <w:lang w:eastAsia="zh-Hans"/>
        </w:rPr>
        <w:t>适用课程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：           XXX、XXX                      </w:t>
      </w:r>
    </w:p>
    <w:p w14:paraId="3FCA4BF8">
      <w:pPr>
        <w:widowControl/>
        <w:tabs>
          <w:tab w:val="left" w:pos="4382"/>
        </w:tabs>
        <w:spacing w:before="78" w:beforeLines="25" w:after="78" w:afterLines="25" w:line="1000" w:lineRule="exact"/>
        <w:ind w:firstLine="640" w:firstLineChars="200"/>
        <w:jc w:val="left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563245</wp:posOffset>
                </wp:positionV>
                <wp:extent cx="3302000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4.35pt;height:0pt;width:260pt;z-index:251660288;mso-width-relative:page;mso-height-relative:page;" filled="f" stroked="t" coordsize="21600,21600" o:gfxdata="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FxiQNQAAAAJAQAADwAAAAAAAAABACAAAAAiAAAAZHJz&#10;L2Rvd25yZXYueG1sUEsBAhQAFAAAAAgAh07iQPZCwijPAQAAiA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sz w:val="32"/>
          <w:szCs w:val="22"/>
          <w:lang w:eastAsia="zh-Hans"/>
        </w:rPr>
        <w:t>作者姓名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：           XXX、XXX                    </w:t>
      </w:r>
    </w:p>
    <w:p w14:paraId="55DF0B15">
      <w:pPr>
        <w:widowControl/>
        <w:tabs>
          <w:tab w:val="left" w:pos="4382"/>
        </w:tabs>
        <w:spacing w:before="78" w:beforeLines="25" w:after="78" w:afterLines="25" w:line="1000" w:lineRule="exact"/>
        <w:ind w:firstLine="640" w:firstLineChars="200"/>
        <w:jc w:val="left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565150</wp:posOffset>
                </wp:positionV>
                <wp:extent cx="3302000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4.5pt;height:0pt;width:260pt;z-index:251661312;mso-width-relative:page;mso-height-relative:page;" filled="f" stroked="t" coordsize="21600,21600" o:gfxdata="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9h7s9UAAAAJAQAADwAAAAAAAAABACAAAAAiAAAAZHJz&#10;L2Rvd25yZXYueG1sUEsBAhQAFAAAAAgAh07iQL4JhKPOAQAAiA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sz w:val="32"/>
          <w:szCs w:val="22"/>
          <w:lang w:eastAsia="zh-Hans"/>
        </w:rPr>
        <w:t>工作单位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：       XXX学院 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部处）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     </w:t>
      </w:r>
    </w:p>
    <w:p w14:paraId="508A39CF">
      <w:pPr>
        <w:widowControl/>
        <w:tabs>
          <w:tab w:val="left" w:pos="4382"/>
        </w:tabs>
        <w:spacing w:before="78" w:beforeLines="25" w:after="78" w:afterLines="25" w:line="1000" w:lineRule="exact"/>
        <w:ind w:firstLine="643" w:firstLineChars="200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 w14:paraId="5877369F">
      <w:pPr>
        <w:widowControl/>
        <w:tabs>
          <w:tab w:val="left" w:pos="4382"/>
        </w:tabs>
        <w:spacing w:before="78" w:beforeLines="25" w:after="78" w:afterLines="25" w:line="1000" w:lineRule="exact"/>
        <w:ind w:firstLine="643" w:firstLineChars="200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 w14:paraId="34573599">
      <w:pPr>
        <w:widowControl/>
        <w:tabs>
          <w:tab w:val="left" w:pos="4382"/>
        </w:tabs>
        <w:spacing w:before="78" w:beforeLines="25" w:after="78" w:afterLines="25" w:line="560" w:lineRule="exact"/>
        <w:ind w:firstLine="643" w:firstLineChars="200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202X年X月X日</w:t>
      </w:r>
    </w:p>
    <w:p w14:paraId="2506AF8E">
      <w:pPr>
        <w:spacing w:before="78" w:beforeLines="25" w:after="78" w:afterLines="25" w:line="300" w:lineRule="auto"/>
        <w:ind w:firstLine="560"/>
        <w:jc w:val="left"/>
        <w:rPr>
          <w:rFonts w:hint="default" w:ascii="Times New Roman" w:hAnsi="Times New Roman" w:eastAsia="宋体" w:cs="Times New Roman"/>
          <w:sz w:val="28"/>
          <w:szCs w:val="4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Fmt w:val="chicago"/>
          </w:footnote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680AAD0">
      <w:pPr>
        <w:keepNext/>
        <w:keepLines/>
        <w:widowControl w:val="0"/>
        <w:spacing w:before="78" w:beforeLines="25" w:after="78" w:afterLines="25" w:line="300" w:lineRule="auto"/>
        <w:ind w:firstLine="0" w:firstLineChars="0"/>
        <w:jc w:val="left"/>
        <w:outlineLvl w:val="0"/>
        <w:rPr>
          <w:rFonts w:hint="default" w:ascii="Times New Roman" w:hAnsi="Times New Roman" w:eastAsia="宋体" w:cs="Times New Roman"/>
          <w:b/>
          <w:bCs/>
          <w:kern w:val="44"/>
          <w:sz w:val="28"/>
          <w:szCs w:val="40"/>
        </w:rPr>
      </w:pPr>
      <w:r>
        <w:rPr>
          <w:rFonts w:hint="default" w:ascii="Times New Roman" w:hAnsi="Times New Roman" w:eastAsia="宋体" w:cs="Times New Roman"/>
          <w:b/>
          <w:bCs/>
          <w:kern w:val="44"/>
          <w:sz w:val="28"/>
          <w:szCs w:val="40"/>
        </w:rPr>
        <w:t>案例正文</w:t>
      </w:r>
    </w:p>
    <w:p w14:paraId="2386DCE2">
      <w:pPr>
        <w:keepNext/>
        <w:keepLines/>
        <w:widowControl w:val="0"/>
        <w:spacing w:before="78" w:beforeLines="25" w:after="78" w:afterLines="25" w:line="300" w:lineRule="auto"/>
        <w:ind w:firstLine="0" w:firstLineChars="0"/>
        <w:jc w:val="center"/>
        <w:outlineLvl w:val="0"/>
        <w:rPr>
          <w:rFonts w:hint="default" w:ascii="Times New Roman" w:hAnsi="Times New Roman" w:eastAsia="幼圆" w:cs="Times New Roman"/>
          <w:b/>
          <w:bCs/>
          <w:kern w:val="44"/>
          <w:sz w:val="32"/>
          <w:szCs w:val="44"/>
        </w:rPr>
      </w:pPr>
      <w:r>
        <w:rPr>
          <w:rFonts w:hint="default" w:ascii="Times New Roman" w:hAnsi="Times New Roman" w:eastAsia="宋体" w:cs="Times New Roman"/>
          <w:b/>
          <w:color w:val="000000"/>
          <w:kern w:val="44"/>
          <w:sz w:val="32"/>
          <w:szCs w:val="44"/>
        </w:rPr>
        <w:t>东软嵌入式事业部的跨国并购之惑</w:t>
      </w:r>
    </w:p>
    <w:p w14:paraId="3CD0EBF5">
      <w:pPr>
        <w:widowControl w:val="0"/>
        <w:spacing w:before="78" w:beforeLines="25" w:after="78" w:afterLines="25" w:line="300" w:lineRule="auto"/>
        <w:ind w:firstLine="0" w:firstLineChars="0"/>
        <w:jc w:val="center"/>
        <w:rPr>
          <w:rFonts w:hint="default" w:ascii="Times New Roman" w:hAnsi="Times New Roman" w:eastAsia="楷体" w:cs="Times New Roman"/>
          <w:sz w:val="32"/>
          <w:szCs w:val="28"/>
        </w:rPr>
      </w:pPr>
      <w:r>
        <w:rPr>
          <w:rFonts w:hint="default" w:ascii="Times New Roman" w:hAnsi="Times New Roman" w:eastAsia="楷体" w:cs="Times New Roman"/>
          <w:sz w:val="32"/>
          <w:szCs w:val="28"/>
        </w:rPr>
        <w:t>作者1 作者2</w:t>
      </w:r>
    </w:p>
    <w:p w14:paraId="6D64877F">
      <w:pPr>
        <w:widowControl w:val="0"/>
        <w:adjustRightInd w:val="0"/>
        <w:snapToGrid w:val="0"/>
        <w:spacing w:before="78" w:beforeLines="25" w:after="78" w:afterLines="25" w:line="300" w:lineRule="auto"/>
        <w:ind w:firstLine="482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摘要：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进入21世纪后，中国企业的跨国并购成为海外直接投资的热点问题。成立于1999年的东软嵌入式事业部是东软集团的核心事业部之一，……</w:t>
      </w:r>
    </w:p>
    <w:p w14:paraId="6B7B90B1">
      <w:pPr>
        <w:widowControl w:val="0"/>
        <w:adjustRightInd w:val="0"/>
        <w:snapToGrid w:val="0"/>
        <w:spacing w:before="78" w:beforeLines="25" w:after="78" w:afterLines="25" w:line="300" w:lineRule="auto"/>
        <w:ind w:firstLine="482" w:firstLineChars="200"/>
        <w:rPr>
          <w:rFonts w:hint="default" w:ascii="Times New Roman" w:hAnsi="Times New Roman" w:eastAsia="Arial Unicode MS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2"/>
        </w:rPr>
        <w:t>Abstract：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 xml:space="preserve">Into the 21st century, cross-border mergers and acquisitions of Chinese enterprises has become a hot issue of foreign direct investment. Founded in 1999, Neusoft Embedded Division, which is one of the core division of Neusoft Group,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……</w:t>
      </w:r>
    </w:p>
    <w:p w14:paraId="1C98C201">
      <w:pPr>
        <w:widowControl w:val="0"/>
        <w:adjustRightInd w:val="0"/>
        <w:snapToGrid w:val="0"/>
        <w:spacing w:before="78" w:beforeLines="25" w:after="78" w:afterLines="25" w:line="30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2"/>
        </w:rPr>
        <w:t>关键词：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跨国并购、企业全球化、手机软件外包</w:t>
      </w:r>
    </w:p>
    <w:p w14:paraId="2DEE1FB9">
      <w:pPr>
        <w:widowControl w:val="0"/>
        <w:spacing w:before="78" w:beforeLines="25" w:after="78" w:afterLines="25" w:line="300" w:lineRule="auto"/>
        <w:ind w:firstLine="480" w:firstLineChars="200"/>
        <w:rPr>
          <w:rFonts w:hint="default" w:ascii="Times New Roman" w:hAnsi="Times New Roman" w:eastAsia="Arial Unicode MS" w:cs="Times New Roman"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b/>
          <w:sz w:val="24"/>
          <w:szCs w:val="24"/>
        </w:rPr>
        <w:t>Keywords：</w:t>
      </w:r>
      <w:r>
        <w:rPr>
          <w:rFonts w:hint="default" w:ascii="Times New Roman" w:hAnsi="Times New Roman" w:eastAsia="Arial Unicode MS" w:cs="Times New Roman"/>
          <w:sz w:val="24"/>
          <w:szCs w:val="24"/>
        </w:rPr>
        <w:t>Cross-border Mergers and Acquisitions; Corporate globalization; Phone Software Outsourcing</w:t>
      </w:r>
    </w:p>
    <w:p w14:paraId="5E8431AC">
      <w:pPr>
        <w:widowControl w:val="0"/>
        <w:spacing w:before="78" w:beforeLines="25" w:after="78" w:afterLines="25" w:line="300" w:lineRule="auto"/>
        <w:ind w:firstLine="562" w:firstLineChars="200"/>
        <w:contextualSpacing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引言</w:t>
      </w:r>
    </w:p>
    <w:p w14:paraId="7B07170A">
      <w:pPr>
        <w:widowControl w:val="0"/>
        <w:adjustRightInd w:val="0"/>
        <w:snapToGrid w:val="0"/>
        <w:spacing w:before="78" w:beforeLines="25" w:after="78" w:afterLines="25" w:line="30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2008年12月22日，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东软集团嵌入式事业部总经理Michael匆匆赶到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位于北京亦庄的诺基亚中国总部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，参加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诺基亚面向全球软件服务供应商召开的本年度最后一次QBR(季度业务回顾)会议</w:t>
      </w:r>
      <w:r>
        <w:rPr>
          <w:rFonts w:hint="default" w:ascii="Times New Roman" w:hAnsi="Times New Roman" w:eastAsia="宋体" w:cs="Times New Roman"/>
          <w:sz w:val="24"/>
          <w:szCs w:val="22"/>
        </w:rPr>
        <w:t>……</w:t>
      </w:r>
    </w:p>
    <w:p w14:paraId="13133E0A">
      <w:pPr>
        <w:widowControl w:val="0"/>
        <w:numPr>
          <w:ilvl w:val="0"/>
          <w:numId w:val="8"/>
        </w:numPr>
        <w:spacing w:before="78" w:beforeLines="25" w:after="78" w:afterLines="25" w:line="300" w:lineRule="auto"/>
        <w:ind w:firstLine="562" w:firstLineChars="200"/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东软集团与嵌入式事业部</w:t>
      </w:r>
    </w:p>
    <w:p w14:paraId="41612741">
      <w:pPr>
        <w:widowControl w:val="0"/>
        <w:adjustRightInd w:val="0"/>
        <w:snapToGrid w:val="0"/>
        <w:spacing w:before="78" w:beforeLines="25" w:after="78" w:afterLines="25" w:line="300" w:lineRule="auto"/>
        <w:ind w:firstLine="482" w:firstLineChars="200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1.1东软集团</w:t>
      </w:r>
    </w:p>
    <w:p w14:paraId="2164F62A">
      <w:pPr>
        <w:widowControl w:val="0"/>
        <w:adjustRightInd w:val="0"/>
        <w:snapToGrid w:val="0"/>
        <w:spacing w:before="78" w:beforeLines="25" w:after="78" w:afterLines="25" w:line="30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东软集团（以下简称“东软”）成立于1991年，是</w:t>
      </w:r>
      <w:r>
        <w:rPr>
          <w:rFonts w:hint="default" w:ascii="Times New Roman" w:hAnsi="Times New Roman" w:eastAsia="宋体" w:cs="Times New Roman"/>
          <w:sz w:val="21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4"/>
        </w:rPr>
        <w:instrText xml:space="preserve"> HYPERLINK "http://baike.baidu.com/view/61891.htm" \t "_blank" </w:instrText>
      </w:r>
      <w:r>
        <w:rPr>
          <w:rFonts w:hint="default" w:ascii="Times New Roman" w:hAnsi="Times New Roman" w:eastAsia="宋体" w:cs="Times New Roman"/>
          <w:sz w:val="21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中国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目前最大的IT解决方案与服务供应商之一。其业务涉及三大板块：智能终端、汽车电子和……</w:t>
      </w:r>
    </w:p>
    <w:p w14:paraId="6CD7E8EA">
      <w:pPr>
        <w:widowControl w:val="0"/>
        <w:adjustRightInd w:val="0"/>
        <w:snapToGrid w:val="0"/>
        <w:spacing w:before="78" w:beforeLines="25" w:after="78" w:afterLines="25" w:line="30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1.2 嵌入式软件事业部</w:t>
      </w:r>
    </w:p>
    <w:p w14:paraId="7D3A10BC">
      <w:pPr>
        <w:widowControl w:val="0"/>
        <w:adjustRightInd w:val="0"/>
        <w:snapToGrid w:val="0"/>
        <w:spacing w:before="78" w:beforeLines="25" w:after="78" w:afterLines="25" w:line="30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成为十年来集团内发展最快的事业部。嵌入式事业部的组织架构如图1所示。</w:t>
      </w:r>
    </w:p>
    <w:p w14:paraId="739D5B86">
      <w:pPr>
        <w:widowControl w:val="0"/>
        <w:tabs>
          <w:tab w:val="left" w:pos="7200"/>
        </w:tabs>
        <w:adjustRightInd w:val="0"/>
        <w:snapToGrid w:val="0"/>
        <w:spacing w:before="78" w:beforeLines="25" w:after="78" w:afterLines="25" w:line="312" w:lineRule="auto"/>
        <w:ind w:firstLine="420" w:firstLineChars="0"/>
        <w:jc w:val="center"/>
        <w:rPr>
          <w:rFonts w:hint="default" w:ascii="Times New Roman" w:hAnsi="Times New Roman" w:eastAsia="宋体" w:cs="Times New Roman"/>
          <w:sz w:val="24"/>
          <w:szCs w:val="22"/>
        </w:rPr>
      </w:pPr>
      <w:r>
        <w:rPr>
          <w:rFonts w:hint="default" w:ascii="Times New Roman" w:hAnsi="Times New Roman" w:eastAsia="宋体" w:cs="Times New Roman"/>
          <w:sz w:val="24"/>
          <w:szCs w:val="22"/>
        </w:rPr>
        <w:drawing>
          <wp:inline distT="0" distB="0" distL="114300" distR="114300">
            <wp:extent cx="3808095" cy="760095"/>
            <wp:effectExtent l="0" t="0" r="190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b="62288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40699">
      <w:pPr>
        <w:widowControl w:val="0"/>
        <w:spacing w:before="25" w:after="25" w:line="312" w:lineRule="auto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图1 事业部组织架构</w:t>
      </w:r>
    </w:p>
    <w:p w14:paraId="2862DC97">
      <w:pPr>
        <w:widowControl w:val="0"/>
        <w:adjustRightInd w:val="0"/>
        <w:snapToGrid w:val="0"/>
        <w:spacing w:before="78" w:beforeLines="25" w:after="78" w:afterLines="25" w:line="312" w:lineRule="auto"/>
        <w:ind w:firstLine="482" w:firstLineChars="200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1.</w:t>
      </w:r>
      <w:r>
        <w:rPr>
          <w:rFonts w:hint="eastAsia" w:eastAsia="宋体" w:cs="Times New Roman"/>
          <w:b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  <w:t>.1 牵手索尼爱立信，涉足Brew平台(2000年-2004年)</w:t>
      </w:r>
    </w:p>
    <w:p w14:paraId="1CE2707C">
      <w:pPr>
        <w:widowControl w:val="0"/>
        <w:adjustRightInd w:val="0"/>
        <w:snapToGrid w:val="0"/>
        <w:spacing w:before="78" w:beforeLines="25" w:after="78" w:afterLines="25" w:line="30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……</w:t>
      </w:r>
    </w:p>
    <w:p w14:paraId="3A07DA08">
      <w:pPr>
        <w:spacing w:before="78" w:beforeLines="25" w:after="78" w:afterLines="25" w:line="300" w:lineRule="auto"/>
        <w:ind w:firstLine="562" w:firstLineChars="200"/>
        <w:contextualSpacing/>
        <w:jc w:val="left"/>
        <w:rPr>
          <w:rFonts w:hint="default" w:ascii="Times New Roman" w:hAnsi="Times New Roman" w:eastAsia="宋体" w:cs="Times New Roman"/>
          <w:b/>
          <w:bCs/>
          <w:sz w:val="28"/>
          <w:szCs w:val="28"/>
        </w:rPr>
        <w:sectPr>
          <w:footnotePr>
            <w:numFmt w:val="chicago"/>
          </w:footnote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E88D4C6">
      <w:pPr>
        <w:keepNext/>
        <w:keepLines/>
        <w:widowControl w:val="0"/>
        <w:spacing w:before="78" w:beforeLines="25" w:after="78" w:afterLines="25" w:line="300" w:lineRule="auto"/>
        <w:ind w:firstLine="0" w:firstLineChars="0"/>
        <w:jc w:val="left"/>
        <w:outlineLvl w:val="0"/>
        <w:rPr>
          <w:rFonts w:hint="default" w:ascii="Times New Roman" w:hAnsi="Times New Roman" w:eastAsia="宋体" w:cs="Times New Roman"/>
          <w:b/>
          <w:bCs/>
          <w:kern w:val="44"/>
          <w:sz w:val="28"/>
          <w:szCs w:val="40"/>
        </w:rPr>
      </w:pPr>
      <w:r>
        <w:rPr>
          <w:rFonts w:hint="default" w:ascii="Times New Roman" w:hAnsi="Times New Roman" w:eastAsia="宋体" w:cs="Times New Roman"/>
          <w:b/>
          <w:bCs/>
          <w:kern w:val="44"/>
          <w:sz w:val="28"/>
          <w:szCs w:val="40"/>
        </w:rPr>
        <w:t>教学指导手册</w:t>
      </w:r>
    </w:p>
    <w:p w14:paraId="58553F00">
      <w:pPr>
        <w:keepNext/>
        <w:keepLines/>
        <w:widowControl w:val="0"/>
        <w:spacing w:before="78" w:beforeLines="25" w:after="78" w:afterLines="25" w:line="300" w:lineRule="auto"/>
        <w:ind w:firstLine="0" w:firstLineChars="0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 w:val="28"/>
          <w:szCs w:val="40"/>
        </w:rPr>
      </w:pPr>
      <w:r>
        <w:rPr>
          <w:rFonts w:hint="default" w:ascii="Times New Roman" w:hAnsi="Times New Roman" w:eastAsia="宋体" w:cs="Times New Roman"/>
          <w:b/>
          <w:color w:val="000000"/>
          <w:kern w:val="44"/>
          <w:sz w:val="32"/>
          <w:szCs w:val="44"/>
        </w:rPr>
        <w:t>东软嵌入式事业部的跨国并购之惑</w:t>
      </w:r>
    </w:p>
    <w:p w14:paraId="796231CE">
      <w:pPr>
        <w:widowControl w:val="0"/>
        <w:numPr>
          <w:ilvl w:val="0"/>
          <w:numId w:val="9"/>
        </w:numPr>
        <w:spacing w:before="78" w:beforeLines="25" w:after="78" w:afterLines="25" w:line="300" w:lineRule="auto"/>
        <w:ind w:firstLine="562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4"/>
        </w:rPr>
        <w:t>教学目标</w:t>
      </w:r>
    </w:p>
    <w:p w14:paraId="702FCC31">
      <w:pPr>
        <w:widowControl w:val="0"/>
        <w:numPr>
          <w:ilvl w:val="1"/>
          <w:numId w:val="9"/>
        </w:numPr>
        <w:spacing w:before="78" w:beforeLines="25" w:after="78" w:afterLines="25" w:line="30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2"/>
        </w:rPr>
        <w:t>教学用途</w:t>
      </w:r>
    </w:p>
    <w:p w14:paraId="0C483393">
      <w:pPr>
        <w:widowControl w:val="0"/>
        <w:adjustRightInd w:val="0"/>
        <w:snapToGrid w:val="0"/>
        <w:spacing w:before="78" w:beforeLines="25" w:after="78" w:afterLines="25" w:line="30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本案例以东软嵌入式事业部的跨国并购之困惑为主要线索，探讨跨国并购的以下三个问题。</w:t>
      </w:r>
    </w:p>
    <w:p w14:paraId="3149223D">
      <w:pPr>
        <w:widowControl w:val="0"/>
        <w:numPr>
          <w:ilvl w:val="0"/>
          <w:numId w:val="10"/>
        </w:numPr>
        <w:adjustRightInd w:val="0"/>
        <w:snapToGrid w:val="0"/>
        <w:spacing w:before="78" w:beforeLines="25" w:after="78" w:afterLines="25" w:line="30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中国企业跨国并购的动因。运用对外直接投资经典理论，比较分析绿地投资（</w:t>
      </w:r>
      <w:r>
        <w:rPr>
          <w:rFonts w:hint="default" w:ascii="Times New Roman" w:hAnsi="Times New Roman" w:eastAsia="宋体" w:cs="Times New Roman"/>
          <w:sz w:val="24"/>
          <w:szCs w:val="24"/>
        </w:rPr>
        <w:t>Greenfield Investment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）与跨国并购的海外直接投资方式，探讨东软嵌入式事业部选择跨国并购的动机。</w:t>
      </w:r>
    </w:p>
    <w:p w14:paraId="67D3DD68">
      <w:pPr>
        <w:widowControl w:val="0"/>
        <w:numPr>
          <w:ilvl w:val="0"/>
          <w:numId w:val="10"/>
        </w:numPr>
        <w:adjustRightInd w:val="0"/>
        <w:snapToGrid w:val="0"/>
        <w:spacing w:before="78" w:beforeLines="25" w:after="78" w:afterLines="25" w:line="30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……</w:t>
      </w:r>
    </w:p>
    <w:p w14:paraId="248E834F">
      <w:pPr>
        <w:widowControl w:val="0"/>
        <w:numPr>
          <w:ilvl w:val="1"/>
          <w:numId w:val="9"/>
        </w:numPr>
        <w:spacing w:before="78" w:beforeLines="25" w:after="78" w:afterLines="25" w:line="30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2"/>
        </w:rPr>
        <w:t>授课对象</w:t>
      </w:r>
    </w:p>
    <w:p w14:paraId="299A446D">
      <w:pPr>
        <w:widowControl w:val="0"/>
        <w:adjustRightInd w:val="0"/>
        <w:snapToGrid w:val="0"/>
        <w:spacing w:before="78" w:beforeLines="25" w:after="78" w:afterLines="25" w:line="30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2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本案例主要为MBA、EMBA开发，适合有一定工作经验的学员和管理者学习，也可以用于工商管理各本科专业相关课程。</w:t>
      </w:r>
    </w:p>
    <w:p w14:paraId="34EF44CC">
      <w:pPr>
        <w:widowControl w:val="0"/>
        <w:numPr>
          <w:ilvl w:val="1"/>
          <w:numId w:val="9"/>
        </w:numPr>
        <w:spacing w:before="78" w:beforeLines="25" w:after="78" w:afterLines="25" w:line="30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2"/>
        </w:rPr>
        <w:t>适用课程</w:t>
      </w:r>
    </w:p>
    <w:p w14:paraId="7ECF22B0">
      <w:pPr>
        <w:widowControl w:val="0"/>
        <w:spacing w:before="78" w:beforeLines="25" w:after="78" w:afterLines="25" w:line="30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2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企业战略管理、国际企业经营</w:t>
      </w:r>
    </w:p>
    <w:p w14:paraId="62F012D0">
      <w:pPr>
        <w:widowControl w:val="0"/>
        <w:spacing w:before="78" w:beforeLines="25" w:after="78" w:afterLines="25" w:line="300" w:lineRule="auto"/>
        <w:ind w:firstLine="562" w:firstLineChars="200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4"/>
        </w:rPr>
        <w:t>2.启发思考题</w:t>
      </w:r>
    </w:p>
    <w:p w14:paraId="1005C14B">
      <w:pPr>
        <w:widowControl w:val="0"/>
        <w:numPr>
          <w:ilvl w:val="0"/>
          <w:numId w:val="11"/>
        </w:numPr>
        <w:spacing w:before="78" w:beforeLines="25" w:after="78" w:afterLines="25" w:line="300" w:lineRule="auto"/>
        <w:ind w:left="0"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2"/>
        </w:rPr>
      </w:pPr>
      <w:r>
        <w:rPr>
          <w:rFonts w:hint="default" w:ascii="Times New Roman" w:hAnsi="Times New Roman" w:eastAsia="宋体" w:cs="Times New Roman"/>
          <w:bCs/>
          <w:color w:val="000000"/>
          <w:sz w:val="24"/>
          <w:szCs w:val="22"/>
        </w:rPr>
        <w:t xml:space="preserve">嵌入式事业部通过与国外手机制造商合作，积累了哪些重要的资源能力？ </w:t>
      </w:r>
    </w:p>
    <w:p w14:paraId="6D5EF7DD">
      <w:pPr>
        <w:widowControl w:val="0"/>
        <w:numPr>
          <w:ilvl w:val="0"/>
          <w:numId w:val="11"/>
        </w:numPr>
        <w:spacing w:before="78" w:beforeLines="25" w:after="78" w:afterLines="25" w:line="300" w:lineRule="auto"/>
        <w:ind w:left="0" w:firstLine="480" w:firstLineChars="200"/>
        <w:rPr>
          <w:rFonts w:hint="default" w:ascii="Times New Roman" w:hAnsi="Times New Roman" w:eastAsia="宋体" w:cs="Times New Roman"/>
          <w:bCs/>
          <w:color w:val="000000"/>
          <w:sz w:val="24"/>
          <w:szCs w:val="22"/>
        </w:rPr>
      </w:pPr>
      <w:r>
        <w:rPr>
          <w:rFonts w:hint="default" w:ascii="Times New Roman" w:hAnsi="Times New Roman" w:eastAsia="宋体" w:cs="Times New Roman"/>
          <w:bCs/>
          <w:color w:val="000000"/>
          <w:sz w:val="24"/>
          <w:szCs w:val="22"/>
        </w:rPr>
        <w:t>诺基亚外包业务策略的变化对嵌入式事业部带来什么影响？如何应对？</w:t>
      </w:r>
    </w:p>
    <w:p w14:paraId="7C6DEDC0">
      <w:pPr>
        <w:widowControl w:val="0"/>
        <w:numPr>
          <w:ilvl w:val="0"/>
          <w:numId w:val="11"/>
        </w:numPr>
        <w:spacing w:before="78" w:beforeLines="25" w:after="78" w:afterLines="25" w:line="300" w:lineRule="auto"/>
        <w:ind w:left="0" w:firstLine="480" w:firstLineChars="200"/>
        <w:rPr>
          <w:rFonts w:hint="default" w:ascii="Times New Roman" w:hAnsi="Times New Roman" w:eastAsia="宋体" w:cs="Times New Roman"/>
          <w:bCs/>
          <w:color w:val="000000"/>
          <w:sz w:val="24"/>
          <w:szCs w:val="22"/>
        </w:rPr>
      </w:pPr>
      <w:r>
        <w:rPr>
          <w:rFonts w:hint="default" w:ascii="Times New Roman" w:hAnsi="Times New Roman" w:eastAsia="宋体" w:cs="Times New Roman"/>
          <w:bCs/>
          <w:color w:val="000000"/>
          <w:sz w:val="24"/>
          <w:szCs w:val="22"/>
        </w:rPr>
        <w:t>嵌入式事业部为什么选择跨国并购？</w:t>
      </w:r>
    </w:p>
    <w:p w14:paraId="090D066A">
      <w:pPr>
        <w:widowControl w:val="0"/>
        <w:numPr>
          <w:ilvl w:val="0"/>
          <w:numId w:val="11"/>
        </w:numPr>
        <w:spacing w:before="78" w:beforeLines="25" w:after="78" w:afterLines="25" w:line="300" w:lineRule="auto"/>
        <w:ind w:left="0" w:firstLine="480" w:firstLineChars="200"/>
        <w:rPr>
          <w:rFonts w:hint="default" w:ascii="Times New Roman" w:hAnsi="Times New Roman" w:eastAsia="宋体" w:cs="Times New Roman"/>
          <w:bCs/>
          <w:color w:val="000000"/>
          <w:sz w:val="24"/>
          <w:szCs w:val="22"/>
        </w:rPr>
      </w:pPr>
      <w:r>
        <w:rPr>
          <w:rFonts w:hint="default" w:ascii="Times New Roman" w:hAnsi="Times New Roman" w:eastAsia="宋体" w:cs="Times New Roman"/>
          <w:bCs/>
          <w:color w:val="000000"/>
          <w:sz w:val="24"/>
          <w:szCs w:val="22"/>
        </w:rPr>
        <w:t>……</w:t>
      </w:r>
    </w:p>
    <w:p w14:paraId="2F738D71">
      <w:pPr>
        <w:widowControl w:val="0"/>
        <w:spacing w:before="78" w:beforeLines="25" w:after="78" w:afterLines="25" w:line="300" w:lineRule="auto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2"/>
        </w:rPr>
      </w:pPr>
    </w:p>
    <w:p w14:paraId="251323E7">
      <w:pPr>
        <w:widowControl w:val="0"/>
        <w:spacing w:before="78" w:beforeLines="25" w:after="78" w:afterLines="25" w:line="300" w:lineRule="auto"/>
        <w:ind w:firstLine="562" w:firstLineChars="200"/>
        <w:contextualSpacing/>
        <w:jc w:val="left"/>
        <w:rPr>
          <w:rFonts w:hint="default" w:ascii="Times New Roman" w:hAnsi="Times New Roman" w:eastAsia="宋体" w:cs="Times New Roman"/>
          <w:b/>
          <w:bCs/>
          <w:sz w:val="28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1"/>
        </w:rPr>
        <w:t>参考文献/资料</w:t>
      </w:r>
    </w:p>
    <w:p w14:paraId="63C86EE0">
      <w:pPr>
        <w:widowControl w:val="0"/>
        <w:spacing w:before="78" w:beforeLines="25" w:after="78" w:afterLines="25" w:line="300" w:lineRule="auto"/>
        <w:ind w:firstLine="48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[1]</w:t>
      </w:r>
      <w:r>
        <w:rPr>
          <w:rFonts w:hint="default" w:ascii="Times New Roman" w:hAnsi="Times New Roman" w:eastAsia="宋体" w:cs="Times New Roman"/>
          <w:sz w:val="24"/>
          <w:szCs w:val="24"/>
        </w:rPr>
        <w:t>中文用小四号宋体字</w:t>
      </w:r>
    </w:p>
    <w:p w14:paraId="2E9FEB72">
      <w:pPr>
        <w:widowControl w:val="0"/>
        <w:spacing w:before="78" w:beforeLines="25" w:after="78" w:afterLines="25" w:line="300" w:lineRule="auto"/>
        <w:ind w:firstLine="480" w:firstLineChars="200"/>
        <w:contextualSpacing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[2]</w:t>
      </w:r>
      <w:r>
        <w:rPr>
          <w:rFonts w:hint="default" w:ascii="Times New Roman" w:hAnsi="Times New Roman" w:eastAsia="宋体" w:cs="Times New Roman"/>
          <w:sz w:val="24"/>
          <w:szCs w:val="24"/>
        </w:rPr>
        <w:t>英文用小四号Times New Roman字体</w:t>
      </w:r>
    </w:p>
    <w:p w14:paraId="5F345340">
      <w:pPr>
        <w:widowControl w:val="0"/>
        <w:spacing w:before="78" w:beforeLines="25" w:after="78" w:afterLines="25" w:line="300" w:lineRule="auto"/>
        <w:ind w:firstLine="48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[3]</w:t>
      </w:r>
    </w:p>
    <w:p w14:paraId="6CABB3AD">
      <w:pPr>
        <w:widowControl w:val="0"/>
        <w:spacing w:before="78" w:beforeLines="25" w:after="78" w:afterLines="25" w:line="300" w:lineRule="auto"/>
        <w:ind w:firstLine="48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[4]</w:t>
      </w:r>
    </w:p>
    <w:p w14:paraId="58E46C75"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8AA58">
    <w:pPr>
      <w:widowControl w:val="0"/>
      <w:snapToGrid w:val="0"/>
      <w:spacing w:before="60" w:after="60" w:line="240" w:lineRule="atLeast"/>
      <w:ind w:firstLine="360" w:firstLineChars="200"/>
      <w:jc w:val="left"/>
      <w:rPr>
        <w:rFonts w:ascii="Times New Roman" w:hAnsi="Times New Roman" w:eastAsia="方正仿宋简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方正仿宋简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3E5B09">
                          <w:pPr>
                            <w:widowControl w:val="0"/>
                            <w:snapToGrid w:val="0"/>
                            <w:spacing w:before="60" w:after="60" w:line="240" w:lineRule="atLeast"/>
                            <w:ind w:firstLine="360" w:firstLineChars="200"/>
                            <w:jc w:val="left"/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13</w:t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E5B09">
                    <w:pPr>
                      <w:widowControl w:val="0"/>
                      <w:snapToGrid w:val="0"/>
                      <w:spacing w:before="60" w:after="60" w:line="240" w:lineRule="atLeast"/>
                      <w:ind w:firstLine="360" w:firstLineChars="200"/>
                      <w:jc w:val="left"/>
                      <w:rPr>
                        <w:rFonts w:ascii="Times New Roman" w:hAnsi="Times New Roman" w:eastAsia="方正仿宋简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13</w:t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8C5B1">
    <w:pPr>
      <w:widowControl w:val="0"/>
      <w:snapToGrid w:val="0"/>
      <w:spacing w:before="60" w:after="60" w:line="240" w:lineRule="atLeast"/>
      <w:ind w:firstLine="360" w:firstLineChars="200"/>
      <w:jc w:val="left"/>
      <w:rPr>
        <w:rFonts w:ascii="Times New Roman" w:hAnsi="Times New Roman" w:eastAsia="方正仿宋简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AEA54">
    <w:pPr>
      <w:widowControl w:val="0"/>
      <w:snapToGrid w:val="0"/>
      <w:spacing w:before="60" w:after="60" w:line="240" w:lineRule="atLeast"/>
      <w:ind w:firstLine="360" w:firstLineChars="200"/>
      <w:jc w:val="left"/>
      <w:rPr>
        <w:rFonts w:ascii="Times New Roman" w:hAnsi="Times New Roman" w:eastAsia="方正仿宋简体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26FBD">
    <w:pPr>
      <w:widowControl w:val="0"/>
      <w:pBdr>
        <w:bottom w:val="none" w:color="auto" w:sz="0" w:space="0"/>
      </w:pBdr>
      <w:snapToGrid w:val="0"/>
      <w:spacing w:before="60" w:after="60" w:line="240" w:lineRule="atLeast"/>
      <w:ind w:firstLine="360" w:firstLineChars="200"/>
      <w:jc w:val="center"/>
      <w:rPr>
        <w:rFonts w:ascii="Times New Roman" w:hAnsi="Times New Roman" w:eastAsia="方正仿宋简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FAB7">
    <w:pPr>
      <w:widowControl w:val="0"/>
      <w:pBdr>
        <w:bottom w:val="single" w:color="auto" w:sz="6" w:space="1"/>
      </w:pBdr>
      <w:snapToGrid w:val="0"/>
      <w:spacing w:before="60" w:after="60" w:line="240" w:lineRule="atLeast"/>
      <w:ind w:firstLine="360" w:firstLineChars="200"/>
      <w:jc w:val="center"/>
      <w:rPr>
        <w:rFonts w:ascii="Times New Roman" w:hAnsi="Times New Roman" w:eastAsia="方正仿宋简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99D2F">
    <w:pPr>
      <w:widowControl w:val="0"/>
      <w:pBdr>
        <w:bottom w:val="single" w:color="auto" w:sz="6" w:space="1"/>
      </w:pBdr>
      <w:snapToGrid w:val="0"/>
      <w:spacing w:before="60" w:after="60" w:line="240" w:lineRule="atLeast"/>
      <w:ind w:firstLine="360" w:firstLineChars="200"/>
      <w:jc w:val="center"/>
      <w:rPr>
        <w:rFonts w:ascii="Times New Roman" w:hAnsi="Times New Roman" w:eastAsia="方正仿宋简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0F935"/>
    <w:multiLevelType w:val="singleLevel"/>
    <w:tmpl w:val="9730F9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AB08170"/>
    <w:multiLevelType w:val="singleLevel"/>
    <w:tmpl w:val="CAB0817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D8A4E022"/>
    <w:multiLevelType w:val="multilevel"/>
    <w:tmpl w:val="D8A4E02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05FF3ADE"/>
    <w:multiLevelType w:val="multilevel"/>
    <w:tmpl w:val="05FF3ADE"/>
    <w:lvl w:ilvl="0" w:tentative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72DBD5"/>
    <w:multiLevelType w:val="singleLevel"/>
    <w:tmpl w:val="1972DBD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9345CFB"/>
    <w:multiLevelType w:val="multilevel"/>
    <w:tmpl w:val="29345CFB"/>
    <w:lvl w:ilvl="0" w:tentative="0">
      <w:start w:val="1"/>
      <w:numFmt w:val="chineseCountingThousand"/>
      <w:suff w:val="nothing"/>
      <w:lvlText w:val="%1、"/>
      <w:lvlJc w:val="left"/>
      <w:pPr>
        <w:ind w:left="0" w:firstLine="6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10EE1D9"/>
    <w:multiLevelType w:val="singleLevel"/>
    <w:tmpl w:val="310EE1D9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7">
    <w:nsid w:val="524901C4"/>
    <w:multiLevelType w:val="multilevel"/>
    <w:tmpl w:val="524901C4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613010"/>
    <w:multiLevelType w:val="multilevel"/>
    <w:tmpl w:val="5C613010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3EA1EA"/>
    <w:multiLevelType w:val="singleLevel"/>
    <w:tmpl w:val="6A3EA1EA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6DCF703D"/>
    <w:multiLevelType w:val="multilevel"/>
    <w:tmpl w:val="6DCF703D"/>
    <w:lvl w:ilvl="0" w:tentative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chicago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zcyMGZjNmQ4Yjc2ZTYyMjI0NTdjYzZhZGUzZjMifQ=="/>
  </w:docVars>
  <w:rsids>
    <w:rsidRoot w:val="303E1198"/>
    <w:rsid w:val="303E1198"/>
    <w:rsid w:val="4D031918"/>
    <w:rsid w:val="5146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paragraph" w:customStyle="1" w:styleId="7">
    <w:name w:val="列出段落1"/>
    <w:basedOn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2413</Words>
  <Characters>2852</Characters>
  <Lines>0</Lines>
  <Paragraphs>0</Paragraphs>
  <TotalTime>14</TotalTime>
  <ScaleCrop>false</ScaleCrop>
  <LinksUpToDate>false</LinksUpToDate>
  <CharactersWithSpaces>3060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2024-11-08T01:27:00Z</dcterms:created>
  <dc:creator>Easy～</dc:creator>
  <cp:lastModifiedBy>Easy～</cp:lastModifiedBy>
  <dcterms:modified xsi:type="dcterms:W3CDTF">2024-11-08T02:33:24Z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00770A55159042B98F43B703FDBE7ACC_11</vt:lpwstr>
  </property>
</Properties>
</file>